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E1B" w:rsidRPr="00344E1B" w:rsidRDefault="00344E1B" w:rsidP="00344E1B">
      <w:pPr>
        <w:pStyle w:val="Header"/>
        <w:rPr>
          <w:rFonts w:cs="Arial"/>
          <w:sz w:val="24"/>
          <w:szCs w:val="24"/>
        </w:rPr>
      </w:pPr>
      <w:r w:rsidRPr="00344E1B">
        <w:rPr>
          <w:rFonts w:cs="Arial"/>
          <w:sz w:val="24"/>
          <w:szCs w:val="24"/>
        </w:rPr>
        <w:t>3GPP TSG-RAN4 Meeting #84</w:t>
      </w:r>
      <w:r w:rsidRPr="00344E1B">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04EC2">
        <w:rPr>
          <w:rFonts w:cs="Arial"/>
          <w:b w:val="0"/>
          <w:bCs/>
          <w:color w:val="808080"/>
          <w:sz w:val="26"/>
          <w:szCs w:val="26"/>
        </w:rPr>
        <w:t>R4-1707763</w:t>
      </w:r>
    </w:p>
    <w:p w:rsidR="00462F31" w:rsidRDefault="00344E1B" w:rsidP="00344E1B">
      <w:pPr>
        <w:pStyle w:val="Header"/>
        <w:rPr>
          <w:rFonts w:cs="Arial"/>
          <w:sz w:val="24"/>
          <w:szCs w:val="24"/>
        </w:rPr>
      </w:pPr>
      <w:r w:rsidRPr="00344E1B">
        <w:rPr>
          <w:rFonts w:cs="Arial"/>
          <w:sz w:val="24"/>
          <w:szCs w:val="24"/>
        </w:rPr>
        <w:t>Berlin, DE, 21st – 25th August 2017</w:t>
      </w:r>
    </w:p>
    <w:p w:rsidR="00344E1B" w:rsidRDefault="00344E1B" w:rsidP="00344E1B">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839E6">
        <w:rPr>
          <w:rFonts w:ascii="Arial" w:hAnsi="Arial"/>
          <w:sz w:val="24"/>
          <w:lang w:val="en-US"/>
        </w:rPr>
        <w:t xml:space="preserve">PCmax </w:t>
      </w:r>
      <w:r w:rsidR="00D1770E">
        <w:rPr>
          <w:rFonts w:ascii="Arial" w:hAnsi="Arial"/>
          <w:sz w:val="24"/>
          <w:lang w:val="en-US"/>
        </w:rPr>
        <w:t>T</w:t>
      </w:r>
      <w:r w:rsidR="00D1770E" w:rsidRPr="00D1770E">
        <w:rPr>
          <w:rFonts w:ascii="Arial" w:hAnsi="Arial"/>
          <w:sz w:val="24"/>
          <w:vertAlign w:val="subscript"/>
          <w:lang w:val="en-US"/>
        </w:rPr>
        <w:t>REF</w:t>
      </w:r>
      <w:r w:rsidR="00D1770E">
        <w:rPr>
          <w:rFonts w:ascii="Arial" w:hAnsi="Arial"/>
          <w:sz w:val="24"/>
          <w:lang w:val="en-US"/>
        </w:rPr>
        <w:t xml:space="preserve"> and </w:t>
      </w:r>
      <w:r w:rsidR="005839E6">
        <w:rPr>
          <w:rFonts w:ascii="Arial" w:hAnsi="Arial"/>
          <w:sz w:val="24"/>
          <w:lang w:val="en-US"/>
        </w:rPr>
        <w:t>T</w:t>
      </w:r>
      <w:r w:rsidR="005839E6" w:rsidRPr="00B46DD7">
        <w:rPr>
          <w:rFonts w:ascii="Arial" w:hAnsi="Arial"/>
          <w:sz w:val="24"/>
          <w:vertAlign w:val="subscript"/>
          <w:lang w:val="en-US"/>
        </w:rPr>
        <w:t>eval</w:t>
      </w:r>
      <w:r w:rsidR="005839E6">
        <w:rPr>
          <w:rFonts w:ascii="Arial" w:hAnsi="Arial"/>
          <w:sz w:val="24"/>
          <w:lang w:val="en-US"/>
        </w:rPr>
        <w:t xml:space="preserve"> window for sTTI</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4172A">
        <w:rPr>
          <w:rFonts w:ascii="Arial" w:hAnsi="Arial"/>
          <w:sz w:val="24"/>
          <w:lang w:val="en-US"/>
        </w:rPr>
        <w:t>8.27.2</w:t>
      </w:r>
      <w:bookmarkStart w:id="0" w:name="_GoBack"/>
      <w:bookmarkEnd w:id="0"/>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F654A">
        <w:rPr>
          <w:rFonts w:ascii="Arial" w:hAnsi="Arial"/>
          <w:sz w:val="24"/>
          <w:lang w:val="en-US"/>
        </w:rPr>
        <w:t>Discussion</w:t>
      </w:r>
    </w:p>
    <w:p w:rsidR="00ED7522" w:rsidRDefault="000E0602" w:rsidP="006866E3">
      <w:pPr>
        <w:pStyle w:val="Heading1"/>
        <w:tabs>
          <w:tab w:val="clear" w:pos="432"/>
          <w:tab w:val="num" w:pos="522"/>
        </w:tabs>
        <w:ind w:left="522" w:hanging="522"/>
        <w:rPr>
          <w:lang w:val="en-US"/>
        </w:rPr>
      </w:pPr>
      <w:r>
        <w:rPr>
          <w:lang w:val="en-US"/>
        </w:rPr>
        <w:t>Introduction</w:t>
      </w:r>
    </w:p>
    <w:p w:rsidR="00033C29" w:rsidRDefault="00F406A6" w:rsidP="00033C29">
      <w:pPr>
        <w:rPr>
          <w:lang w:val="en-US"/>
        </w:rPr>
      </w:pPr>
      <w:r>
        <w:rPr>
          <w:lang w:val="en-US"/>
        </w:rPr>
        <w:t>In [1], a PCmax evaluation window has been proposed for sTTI as shown below:</w:t>
      </w:r>
    </w:p>
    <w:p w:rsidR="00F406A6" w:rsidRPr="00577342" w:rsidRDefault="00F406A6" w:rsidP="00F406A6">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09"/>
        <w:gridCol w:w="2083"/>
      </w:tblGrid>
      <w:tr w:rsidR="00F406A6" w:rsidRPr="00577342" w:rsidTr="00ED69A3">
        <w:trPr>
          <w:trHeight w:val="240"/>
          <w:jc w:val="center"/>
        </w:trPr>
        <w:tc>
          <w:tcPr>
            <w:tcW w:w="1809" w:type="dxa"/>
          </w:tcPr>
          <w:p w:rsidR="00F406A6" w:rsidRPr="00577342" w:rsidRDefault="00F406A6" w:rsidP="00ED69A3">
            <w:pPr>
              <w:pStyle w:val="TAH"/>
              <w:rPr>
                <w:rFonts w:cs="Arial"/>
                <w:highlight w:val="yellow"/>
              </w:rPr>
            </w:pPr>
            <w:r>
              <w:rPr>
                <w:rFonts w:cs="Arial"/>
                <w:highlight w:val="yellow"/>
              </w:rPr>
              <w:t>TTI duration</w:t>
            </w:r>
          </w:p>
        </w:tc>
        <w:tc>
          <w:tcPr>
            <w:tcW w:w="1809" w:type="dxa"/>
            <w:shd w:val="clear" w:color="auto" w:fill="auto"/>
            <w:vAlign w:val="center"/>
          </w:tcPr>
          <w:p w:rsidR="00F406A6" w:rsidRPr="00577342" w:rsidRDefault="00F406A6" w:rsidP="00ED69A3">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2083" w:type="dxa"/>
            <w:shd w:val="clear" w:color="auto" w:fill="auto"/>
            <w:vAlign w:val="center"/>
          </w:tcPr>
          <w:p w:rsidR="00F406A6" w:rsidRPr="00577342" w:rsidRDefault="00F406A6" w:rsidP="00ED69A3">
            <w:pPr>
              <w:pStyle w:val="TAH"/>
              <w:rPr>
                <w:rFonts w:cs="Arial"/>
                <w:highlight w:val="yellow"/>
                <w:lang w:val="fr-FR"/>
              </w:rPr>
            </w:pPr>
            <w:r w:rsidRPr="00577342">
              <w:rPr>
                <w:rFonts w:ascii="Times New Roman" w:hAnsi="Times New Roman"/>
                <w:sz w:val="20"/>
                <w:highlight w:val="yellow"/>
              </w:rPr>
              <w:t>T</w:t>
            </w:r>
            <w:r w:rsidRPr="00577342">
              <w:rPr>
                <w:rFonts w:ascii="Times New Roman" w:hAnsi="Times New Roman"/>
                <w:sz w:val="20"/>
                <w:highlight w:val="yellow"/>
                <w:vertAlign w:val="subscript"/>
              </w:rPr>
              <w:t>eval</w:t>
            </w:r>
          </w:p>
        </w:tc>
      </w:tr>
      <w:tr w:rsidR="00F406A6" w:rsidRPr="00577342" w:rsidTr="00ED69A3">
        <w:trPr>
          <w:trHeight w:val="240"/>
          <w:jc w:val="center"/>
        </w:trPr>
        <w:tc>
          <w:tcPr>
            <w:tcW w:w="1809" w:type="dxa"/>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14 OS (1 ms)</w:t>
            </w:r>
          </w:p>
        </w:tc>
        <w:tc>
          <w:tcPr>
            <w:tcW w:w="1809"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2083"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F406A6" w:rsidRPr="00577342" w:rsidTr="00ED69A3">
        <w:trPr>
          <w:trHeight w:val="240"/>
          <w:jc w:val="center"/>
        </w:trPr>
        <w:tc>
          <w:tcPr>
            <w:tcW w:w="1809" w:type="dxa"/>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1809"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2083"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r>
      <w:tr w:rsidR="00F406A6" w:rsidRPr="0032110F" w:rsidTr="00ED69A3">
        <w:trPr>
          <w:trHeight w:val="255"/>
          <w:jc w:val="center"/>
        </w:trPr>
        <w:tc>
          <w:tcPr>
            <w:tcW w:w="1809" w:type="dxa"/>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1809" w:type="dxa"/>
            <w:shd w:val="clear" w:color="auto" w:fill="auto"/>
            <w:vAlign w:val="center"/>
          </w:tcPr>
          <w:p w:rsidR="00F406A6" w:rsidRPr="00364554" w:rsidRDefault="00F406A6"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2083" w:type="dxa"/>
            <w:shd w:val="clear" w:color="auto" w:fill="auto"/>
            <w:vAlign w:val="center"/>
          </w:tcPr>
          <w:p w:rsidR="00F406A6" w:rsidRPr="00315BC9" w:rsidRDefault="00F406A6" w:rsidP="00ED69A3">
            <w:pPr>
              <w:pStyle w:val="TAC"/>
              <w:rPr>
                <w:rFonts w:cs="Arial"/>
              </w:rPr>
            </w:pPr>
            <w:r w:rsidRPr="00364554">
              <w:rPr>
                <w:rFonts w:cs="Arial"/>
                <w:highlight w:val="yellow"/>
              </w:rPr>
              <w:t>7 OS</w:t>
            </w:r>
          </w:p>
        </w:tc>
      </w:tr>
    </w:tbl>
    <w:p w:rsidR="00033C29" w:rsidRDefault="00033C29" w:rsidP="00033C29">
      <w:pPr>
        <w:rPr>
          <w:lang w:val="en-US"/>
        </w:rPr>
      </w:pPr>
    </w:p>
    <w:p w:rsidR="00C15C1A" w:rsidRPr="00F22934" w:rsidRDefault="007F654A" w:rsidP="00F22934">
      <w:pPr>
        <w:rPr>
          <w:lang w:val="en-US"/>
        </w:rPr>
      </w:pPr>
      <w:r>
        <w:rPr>
          <w:lang w:val="en-US"/>
        </w:rPr>
        <w:t xml:space="preserve">The table states that the </w:t>
      </w:r>
      <w:r w:rsidRPr="00577342">
        <w:rPr>
          <w:highlight w:val="yellow"/>
        </w:rPr>
        <w:t>T</w:t>
      </w:r>
      <w:r w:rsidRPr="00577342">
        <w:rPr>
          <w:highlight w:val="yellow"/>
          <w:vertAlign w:val="subscript"/>
        </w:rPr>
        <w:t>eval</w:t>
      </w:r>
      <w:r>
        <w:rPr>
          <w:vertAlign w:val="subscript"/>
        </w:rPr>
        <w:t xml:space="preserve"> </w:t>
      </w:r>
      <w:r>
        <w:t xml:space="preserve">window should be the same as that of the TTI length. </w:t>
      </w:r>
    </w:p>
    <w:p w:rsidR="00C15C1A" w:rsidRDefault="006866E3" w:rsidP="00A67A30">
      <w:pPr>
        <w:pStyle w:val="Heading1"/>
        <w:rPr>
          <w:lang w:val="en-US"/>
        </w:rPr>
      </w:pPr>
      <w:r w:rsidRPr="00C15C1A">
        <w:rPr>
          <w:lang w:val="en-US"/>
        </w:rPr>
        <w:t>Discussion</w:t>
      </w:r>
    </w:p>
    <w:p w:rsidR="007F654A" w:rsidRDefault="007F654A" w:rsidP="007F654A">
      <w:r>
        <w:rPr>
          <w:lang w:val="en-US"/>
        </w:rPr>
        <w:t>Since there could be inter-symbol frequency hopping</w:t>
      </w:r>
      <w:r w:rsidR="00193EAA">
        <w:rPr>
          <w:lang w:val="en-US"/>
        </w:rPr>
        <w:t>,</w:t>
      </w:r>
      <w:r>
        <w:rPr>
          <w:lang w:val="en-US"/>
        </w:rPr>
        <w:t xml:space="preserve"> </w:t>
      </w:r>
      <w:r w:rsidRPr="00577342">
        <w:rPr>
          <w:highlight w:val="yellow"/>
        </w:rPr>
        <w:t>T</w:t>
      </w:r>
      <w:r w:rsidRPr="00577342">
        <w:rPr>
          <w:highlight w:val="yellow"/>
          <w:vertAlign w:val="subscript"/>
        </w:rPr>
        <w:t>eval</w:t>
      </w:r>
      <w:r>
        <w:rPr>
          <w:vertAlign w:val="subscript"/>
        </w:rPr>
        <w:t xml:space="preserve"> </w:t>
      </w:r>
      <w:r w:rsidR="002B25C6" w:rsidRPr="002B25C6">
        <w:t xml:space="preserve">should </w:t>
      </w:r>
      <w:r>
        <w:t>be the “</w:t>
      </w:r>
      <w:r w:rsidR="00193EAA">
        <w:t>Frequency-Hopping-</w:t>
      </w:r>
      <w:r w:rsidR="000B2372">
        <w:t>Duration” for that TTI length.</w:t>
      </w:r>
    </w:p>
    <w:p w:rsidR="00A46004" w:rsidRDefault="00A46004" w:rsidP="007F654A">
      <w:r>
        <w:rPr>
          <w:b/>
        </w:rPr>
        <w:t>Proposal</w:t>
      </w:r>
      <w:r w:rsidRPr="00481086">
        <w:rPr>
          <w:b/>
        </w:rPr>
        <w:t xml:space="preserve"> 1:</w:t>
      </w:r>
      <w:r>
        <w:t xml:space="preserve"> Since there could be intra sTTI frequency hopping, the minimum evaluation window length should be that of the “frequency-hopping-duration” or TTI length in case of no intra sTTI frequency hopping as shown in the table below.</w:t>
      </w:r>
    </w:p>
    <w:p w:rsidR="00193EAA" w:rsidRPr="00577342" w:rsidRDefault="00193EAA" w:rsidP="00193EAA">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193EAA" w:rsidRPr="00577342" w:rsidTr="00C1283C">
        <w:trPr>
          <w:trHeight w:val="158"/>
          <w:jc w:val="center"/>
        </w:trPr>
        <w:tc>
          <w:tcPr>
            <w:tcW w:w="1586" w:type="dxa"/>
          </w:tcPr>
          <w:p w:rsidR="00193EAA" w:rsidRPr="00577342" w:rsidRDefault="00193EAA" w:rsidP="00ED69A3">
            <w:pPr>
              <w:pStyle w:val="TAH"/>
              <w:rPr>
                <w:rFonts w:cs="Arial"/>
                <w:highlight w:val="yellow"/>
              </w:rPr>
            </w:pPr>
            <w:r>
              <w:rPr>
                <w:rFonts w:cs="Arial"/>
                <w:highlight w:val="yellow"/>
              </w:rPr>
              <w:t>TTI duration</w:t>
            </w:r>
          </w:p>
        </w:tc>
        <w:tc>
          <w:tcPr>
            <w:tcW w:w="1728" w:type="dxa"/>
            <w:shd w:val="clear" w:color="auto" w:fill="auto"/>
            <w:vAlign w:val="center"/>
          </w:tcPr>
          <w:p w:rsidR="00193EAA" w:rsidRPr="00577342" w:rsidRDefault="00193EAA" w:rsidP="00ED69A3">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3730" w:type="dxa"/>
            <w:shd w:val="clear" w:color="auto" w:fill="auto"/>
            <w:vAlign w:val="center"/>
          </w:tcPr>
          <w:p w:rsidR="00193EAA" w:rsidRPr="00577342" w:rsidRDefault="00193EAA" w:rsidP="00ED69A3">
            <w:pPr>
              <w:pStyle w:val="TAH"/>
              <w:rPr>
                <w:rFonts w:cs="Arial"/>
                <w:highlight w:val="yellow"/>
                <w:lang w:val="fr-FR"/>
              </w:rPr>
            </w:pPr>
            <w:r w:rsidRPr="00577342">
              <w:rPr>
                <w:rFonts w:ascii="Times New Roman" w:hAnsi="Times New Roman"/>
                <w:sz w:val="20"/>
                <w:highlight w:val="yellow"/>
              </w:rPr>
              <w:t>T</w:t>
            </w:r>
            <w:r w:rsidRPr="00577342">
              <w:rPr>
                <w:rFonts w:ascii="Times New Roman" w:hAnsi="Times New Roman"/>
                <w:sz w:val="20"/>
                <w:highlight w:val="yellow"/>
                <w:vertAlign w:val="subscript"/>
              </w:rPr>
              <w:t>eval</w:t>
            </w:r>
          </w:p>
        </w:tc>
      </w:tr>
      <w:tr w:rsidR="00193EAA" w:rsidRPr="00577342" w:rsidTr="00C1283C">
        <w:trPr>
          <w:trHeight w:val="158"/>
          <w:jc w:val="center"/>
        </w:trPr>
        <w:tc>
          <w:tcPr>
            <w:tcW w:w="1586" w:type="dxa"/>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14 OS (1 ms)</w:t>
            </w:r>
          </w:p>
        </w:tc>
        <w:tc>
          <w:tcPr>
            <w:tcW w:w="1728"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3730"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193EAA" w:rsidRPr="00577342" w:rsidTr="00C1283C">
        <w:trPr>
          <w:trHeight w:val="158"/>
          <w:jc w:val="center"/>
        </w:trPr>
        <w:tc>
          <w:tcPr>
            <w:tcW w:w="1586" w:type="dxa"/>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1728"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2 OS</w:t>
            </w:r>
          </w:p>
        </w:tc>
        <w:tc>
          <w:tcPr>
            <w:tcW w:w="3730" w:type="dxa"/>
            <w:shd w:val="clear" w:color="auto" w:fill="auto"/>
            <w:vAlign w:val="center"/>
          </w:tcPr>
          <w:p w:rsidR="00193EAA" w:rsidRPr="000E3A7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0E3A74">
              <w:rPr>
                <w:highlight w:val="yellow"/>
              </w:rPr>
              <w:t>Min(“Frequency-Hopping-Duration”, 2os)</w:t>
            </w:r>
          </w:p>
        </w:tc>
      </w:tr>
      <w:tr w:rsidR="00193EAA" w:rsidRPr="0032110F" w:rsidTr="00C1283C">
        <w:trPr>
          <w:trHeight w:val="167"/>
          <w:jc w:val="center"/>
        </w:trPr>
        <w:tc>
          <w:tcPr>
            <w:tcW w:w="1586" w:type="dxa"/>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1728" w:type="dxa"/>
            <w:shd w:val="clear" w:color="auto" w:fill="auto"/>
            <w:vAlign w:val="center"/>
          </w:tcPr>
          <w:p w:rsidR="00193EAA" w:rsidRPr="00364554" w:rsidRDefault="00193EAA" w:rsidP="00ED69A3">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7 OS</w:t>
            </w:r>
          </w:p>
        </w:tc>
        <w:tc>
          <w:tcPr>
            <w:tcW w:w="3730" w:type="dxa"/>
            <w:shd w:val="clear" w:color="auto" w:fill="auto"/>
            <w:vAlign w:val="center"/>
          </w:tcPr>
          <w:p w:rsidR="00193EAA" w:rsidRPr="000E3A74" w:rsidRDefault="00C1283C" w:rsidP="00ED69A3">
            <w:pPr>
              <w:pStyle w:val="TAC"/>
              <w:rPr>
                <w:rFonts w:cs="Arial"/>
                <w:highlight w:val="yellow"/>
              </w:rPr>
            </w:pPr>
            <w:r w:rsidRPr="000E3A74">
              <w:rPr>
                <w:highlight w:val="yellow"/>
              </w:rPr>
              <w:t>Min(“Frequency-Hopping-Duration”, 7os)</w:t>
            </w:r>
          </w:p>
        </w:tc>
      </w:tr>
    </w:tbl>
    <w:p w:rsidR="00ED3FE5" w:rsidRDefault="00ED3FE5" w:rsidP="00ED3FE5">
      <w:pPr>
        <w:rPr>
          <w:lang w:val="en-US"/>
        </w:rPr>
      </w:pPr>
    </w:p>
    <w:p w:rsidR="00A46004" w:rsidRDefault="00E73003" w:rsidP="00A46004">
      <w:bookmarkStart w:id="1" w:name="_Hlk487796061"/>
      <w:r>
        <w:t xml:space="preserve">Where </w:t>
      </w:r>
      <w:r w:rsidR="00A46004">
        <w:t>“Frequency-Hopping-Duration” is defined as the minimum duration of consecutive symbols without frequency hopping</w:t>
      </w:r>
      <w:bookmarkEnd w:id="1"/>
      <w:r w:rsidR="00A46004">
        <w:t xml:space="preserve">. </w:t>
      </w:r>
    </w:p>
    <w:p w:rsidR="00DF1495" w:rsidRDefault="00DF1495" w:rsidP="00DF1495">
      <w:r>
        <w:rPr>
          <w:b/>
        </w:rPr>
        <w:t>Proposal</w:t>
      </w:r>
      <w:r w:rsidRPr="00481086">
        <w:rPr>
          <w:b/>
        </w:rPr>
        <w:t xml:space="preserve"> </w:t>
      </w:r>
      <w:r>
        <w:rPr>
          <w:b/>
        </w:rPr>
        <w:t>2</w:t>
      </w:r>
      <w:r w:rsidRPr="00481086">
        <w:rPr>
          <w:b/>
        </w:rPr>
        <w:t xml:space="preserve">: </w:t>
      </w:r>
      <w:r w:rsidRPr="00581D5F">
        <w:t>F</w:t>
      </w:r>
      <w:r>
        <w:t xml:space="preserve">or burst mode sTTI, since the dynamic range of the Tx power from OFF to ON can be large, the measurement tolerance of Tx power equal to that of SRS should apply. </w:t>
      </w:r>
    </w:p>
    <w:p w:rsidR="00A46004" w:rsidRDefault="00A46004" w:rsidP="00ED3FE5">
      <w:pPr>
        <w:rPr>
          <w:lang w:val="en-US"/>
        </w:rPr>
      </w:pPr>
    </w:p>
    <w:p w:rsidR="001F5E76" w:rsidRDefault="001F5E76" w:rsidP="001F5E76">
      <w:pPr>
        <w:pStyle w:val="Heading2"/>
        <w:rPr>
          <w:lang w:val="en-US"/>
        </w:rPr>
      </w:pPr>
      <w:r>
        <w:rPr>
          <w:lang w:val="en-US"/>
        </w:rPr>
        <w:t>Draft CR</w:t>
      </w:r>
    </w:p>
    <w:p w:rsidR="001F5E76" w:rsidRDefault="001F5E76" w:rsidP="001F5E76">
      <w:pPr>
        <w:rPr>
          <w:lang w:val="en-US"/>
        </w:rPr>
      </w:pPr>
      <w:r>
        <w:rPr>
          <w:lang w:val="en-US"/>
        </w:rPr>
        <w:t>Following updates are needed in 36.101, to reflect the updated definition of PCMAX for TTIs.</w:t>
      </w:r>
    </w:p>
    <w:p w:rsidR="001F5E76" w:rsidRPr="007C3F38" w:rsidRDefault="001F5E76" w:rsidP="001F5E76">
      <w:pPr>
        <w:rPr>
          <w:b/>
          <w:color w:val="FF0000"/>
          <w:lang w:val="en-US"/>
        </w:rPr>
      </w:pPr>
      <w:r w:rsidRPr="007C3F38">
        <w:rPr>
          <w:b/>
          <w:color w:val="FF0000"/>
          <w:lang w:val="en-US"/>
        </w:rPr>
        <w:t>============ Start changes in Section 6.3.5, TS 36.101 ==================</w:t>
      </w:r>
    </w:p>
    <w:p w:rsidR="001F5E76" w:rsidRDefault="001F5E76" w:rsidP="001F5E76">
      <w:pPr>
        <w:pStyle w:val="Heading3"/>
        <w:numPr>
          <w:ilvl w:val="0"/>
          <w:numId w:val="0"/>
        </w:numPr>
        <w:ind w:left="851" w:hanging="851"/>
        <w:rPr>
          <w:rFonts w:ascii="Times New Roman" w:hAnsi="Times New Roman"/>
          <w:b/>
          <w:sz w:val="24"/>
        </w:rPr>
      </w:pPr>
      <w:r w:rsidRPr="00862AE4">
        <w:rPr>
          <w:rFonts w:ascii="Times New Roman" w:hAnsi="Times New Roman"/>
          <w:b/>
          <w:sz w:val="24"/>
        </w:rPr>
        <w:t>6.2.5</w:t>
      </w:r>
      <w:r w:rsidRPr="00862AE4">
        <w:rPr>
          <w:rFonts w:ascii="Times New Roman" w:hAnsi="Times New Roman"/>
          <w:b/>
          <w:sz w:val="24"/>
        </w:rPr>
        <w:tab/>
        <w:t>Configured transmitted power</w:t>
      </w:r>
    </w:p>
    <w:p w:rsidR="001F5E76" w:rsidRPr="0032110F" w:rsidRDefault="001F5E76" w:rsidP="001F5E76">
      <w:pPr>
        <w:rPr>
          <w:lang w:bidi="bn-IN"/>
        </w:rPr>
      </w:pPr>
      <w:r w:rsidRPr="0032110F">
        <w:t>The UE is allowed to set its configured maximum output power</w:t>
      </w:r>
      <w:r w:rsidRPr="0032110F">
        <w:rPr>
          <w:lang w:bidi="bn-IN"/>
        </w:rPr>
        <w:t xml:space="preserve"> P</w:t>
      </w:r>
      <w:r w:rsidRPr="0032110F">
        <w:rPr>
          <w:vertAlign w:val="subscript"/>
          <w:lang w:bidi="bn-IN"/>
        </w:rPr>
        <w:t>CMAX</w:t>
      </w:r>
      <w:r w:rsidRPr="0032110F">
        <w:rPr>
          <w:rFonts w:cs="Vrinda"/>
          <w:vertAlign w:val="subscript"/>
          <w:lang w:bidi="bn-IN"/>
        </w:rPr>
        <w:t>,</w:t>
      </w:r>
      <w:r w:rsidRPr="0032110F">
        <w:rPr>
          <w:rFonts w:cs="Vrinda"/>
          <w:i/>
          <w:vertAlign w:val="subscript"/>
          <w:lang w:bidi="bn-IN"/>
        </w:rPr>
        <w:t>c</w:t>
      </w:r>
      <w:r w:rsidRPr="0032110F">
        <w:rPr>
          <w:rFonts w:cs="Vrinda"/>
          <w:lang w:bidi="bn-IN"/>
        </w:rPr>
        <w:t xml:space="preserve"> for serving cell </w:t>
      </w:r>
      <w:r w:rsidRPr="0032110F">
        <w:rPr>
          <w:rFonts w:cs="Vrinda"/>
          <w:i/>
          <w:lang w:bidi="bn-IN"/>
        </w:rPr>
        <w:t>c</w:t>
      </w:r>
      <w:r w:rsidRPr="0032110F">
        <w:t xml:space="preserve">. </w:t>
      </w:r>
      <w:r w:rsidRPr="0032110F">
        <w:rPr>
          <w:lang w:bidi="bn-IN"/>
        </w:rPr>
        <w:t>The configured maximum output power P</w:t>
      </w:r>
      <w:r w:rsidRPr="0032110F">
        <w:rPr>
          <w:vertAlign w:val="subscript"/>
          <w:lang w:bidi="bn-IN"/>
        </w:rPr>
        <w:t>CMAX</w:t>
      </w:r>
      <w:r w:rsidRPr="0032110F">
        <w:rPr>
          <w:rFonts w:cs="Vrinda"/>
          <w:vertAlign w:val="subscript"/>
          <w:lang w:bidi="bn-IN"/>
        </w:rPr>
        <w:t>,</w:t>
      </w:r>
      <w:r w:rsidRPr="0032110F">
        <w:rPr>
          <w:rFonts w:cs="Vrinda"/>
          <w:i/>
          <w:vertAlign w:val="subscript"/>
          <w:lang w:bidi="bn-IN"/>
        </w:rPr>
        <w:t>c</w:t>
      </w:r>
      <w:r w:rsidRPr="0032110F">
        <w:rPr>
          <w:lang w:bidi="bn-IN"/>
        </w:rPr>
        <w:t xml:space="preserve"> is set within the following bounds:</w:t>
      </w:r>
    </w:p>
    <w:p w:rsidR="001F5E76" w:rsidRPr="0032110F" w:rsidRDefault="001F5E76" w:rsidP="001F5E76">
      <w:pPr>
        <w:rPr>
          <w:lang w:bidi="bn-IN"/>
        </w:rPr>
      </w:pPr>
      <w:r w:rsidRPr="0032110F">
        <w:rPr>
          <w:lang w:bidi="bn-IN"/>
        </w:rPr>
        <w:lastRenderedPageBreak/>
        <w:t>P</w:t>
      </w:r>
      <w:r w:rsidRPr="0032110F">
        <w:rPr>
          <w:vertAlign w:val="subscript"/>
          <w:lang w:bidi="bn-IN"/>
        </w:rPr>
        <w:t>CMAX_L,</w:t>
      </w:r>
      <w:r w:rsidRPr="0032110F">
        <w:rPr>
          <w:i/>
          <w:vertAlign w:val="subscript"/>
          <w:lang w:bidi="bn-IN"/>
        </w:rPr>
        <w:t>c</w:t>
      </w:r>
      <w:r w:rsidRPr="0032110F">
        <w:rPr>
          <w:lang w:bidi="bn-IN"/>
        </w:rPr>
        <w:t xml:space="preserve"> ≤  P</w:t>
      </w:r>
      <w:r w:rsidRPr="0032110F">
        <w:rPr>
          <w:vertAlign w:val="subscript"/>
          <w:lang w:bidi="bn-IN"/>
        </w:rPr>
        <w:t>CMAX,</w:t>
      </w:r>
      <w:r w:rsidRPr="0032110F">
        <w:rPr>
          <w:i/>
          <w:vertAlign w:val="subscript"/>
          <w:lang w:bidi="bn-IN"/>
        </w:rPr>
        <w:t>c</w:t>
      </w:r>
      <w:r w:rsidRPr="0032110F">
        <w:rPr>
          <w:vertAlign w:val="subscript"/>
          <w:lang w:bidi="bn-IN"/>
        </w:rPr>
        <w:t xml:space="preserve"> </w:t>
      </w:r>
      <w:r w:rsidRPr="0032110F">
        <w:rPr>
          <w:lang w:bidi="bn-IN"/>
        </w:rPr>
        <w:t xml:space="preserve"> ≤  P</w:t>
      </w:r>
      <w:r w:rsidRPr="0032110F">
        <w:rPr>
          <w:vertAlign w:val="subscript"/>
          <w:lang w:bidi="bn-IN"/>
        </w:rPr>
        <w:t>CMAX_H,</w:t>
      </w:r>
      <w:r w:rsidRPr="0032110F">
        <w:rPr>
          <w:i/>
          <w:vertAlign w:val="subscript"/>
          <w:lang w:bidi="bn-IN"/>
        </w:rPr>
        <w:t>c</w:t>
      </w:r>
      <w:r w:rsidRPr="0032110F">
        <w:rPr>
          <w:lang w:bidi="bn-IN"/>
        </w:rPr>
        <w:t xml:space="preserve"> with</w:t>
      </w:r>
    </w:p>
    <w:p w:rsidR="001F5E76" w:rsidRPr="0032110F" w:rsidRDefault="001F5E76" w:rsidP="001F5E76">
      <w:pPr>
        <w:pStyle w:val="EQ"/>
        <w:rPr>
          <w:noProof w:val="0"/>
          <w:lang w:bidi="bn-IN"/>
        </w:rPr>
      </w:pPr>
      <w:r w:rsidRPr="0032110F">
        <w:rPr>
          <w:noProof w:val="0"/>
          <w:lang w:bidi="bn-IN"/>
        </w:rPr>
        <w:tab/>
        <w:t>P</w:t>
      </w:r>
      <w:r w:rsidRPr="0032110F">
        <w:rPr>
          <w:noProof w:val="0"/>
          <w:vertAlign w:val="subscript"/>
          <w:lang w:bidi="bn-IN"/>
        </w:rPr>
        <w:t>CMAX_L</w:t>
      </w:r>
      <w:r w:rsidRPr="0032110F">
        <w:rPr>
          <w:rFonts w:cs="Vrinda"/>
          <w:noProof w:val="0"/>
          <w:vertAlign w:val="subscript"/>
          <w:lang w:bidi="bn-IN"/>
        </w:rPr>
        <w:t>,</w:t>
      </w:r>
      <w:r w:rsidRPr="0032110F">
        <w:rPr>
          <w:rFonts w:cs="Vrinda"/>
          <w:i/>
          <w:noProof w:val="0"/>
          <w:vertAlign w:val="subscript"/>
          <w:lang w:bidi="bn-IN"/>
        </w:rPr>
        <w:t>c</w:t>
      </w:r>
      <w:r w:rsidRPr="0032110F">
        <w:rPr>
          <w:noProof w:val="0"/>
          <w:lang w:bidi="bn-IN"/>
        </w:rPr>
        <w:t xml:space="preserve"> = MIN {P</w:t>
      </w:r>
      <w:r w:rsidRPr="0032110F">
        <w:rPr>
          <w:noProof w:val="0"/>
          <w:vertAlign w:val="subscript"/>
          <w:lang w:bidi="bn-IN"/>
        </w:rPr>
        <w:t>EMAX</w:t>
      </w:r>
      <w:r w:rsidRPr="0032110F">
        <w:rPr>
          <w:rFonts w:cs="Vrinda"/>
          <w:noProof w:val="0"/>
          <w:vertAlign w:val="subscript"/>
          <w:lang w:bidi="bn-IN"/>
        </w:rPr>
        <w:t>,</w:t>
      </w:r>
      <w:r w:rsidRPr="0032110F">
        <w:rPr>
          <w:rFonts w:cs="Vrinda"/>
          <w:i/>
          <w:noProof w:val="0"/>
          <w:vertAlign w:val="subscript"/>
          <w:lang w:bidi="bn-IN"/>
        </w:rPr>
        <w:t>c</w:t>
      </w:r>
      <w:r w:rsidRPr="0032110F">
        <w:rPr>
          <w:noProof w:val="0"/>
          <w:vertAlign w:val="subscript"/>
          <w:lang w:bidi="bn-IN"/>
        </w:rPr>
        <w:t xml:space="preserve"> </w:t>
      </w:r>
      <w:r w:rsidRPr="0032110F">
        <w:rPr>
          <w:noProof w:val="0"/>
          <w:lang w:bidi="bn-IN"/>
        </w:rPr>
        <w:t xml:space="preserve">– </w:t>
      </w:r>
      <w:r w:rsidRPr="0032110F">
        <w:rPr>
          <w:rFonts w:ascii="Symbol" w:hAnsi="Symbol"/>
          <w:noProof w:val="0"/>
          <w:lang w:bidi="bn-IN"/>
        </w:rPr>
        <w:t></w:t>
      </w:r>
      <w:r w:rsidRPr="0032110F">
        <w:rPr>
          <w:noProof w:val="0"/>
          <w:lang w:bidi="bn-IN"/>
        </w:rPr>
        <w:t>T</w:t>
      </w:r>
      <w:r w:rsidRPr="0032110F">
        <w:rPr>
          <w:noProof w:val="0"/>
          <w:vertAlign w:val="subscript"/>
          <w:lang w:bidi="bn-IN"/>
        </w:rPr>
        <w:t>C</w:t>
      </w:r>
      <w:r w:rsidRPr="0032110F">
        <w:rPr>
          <w:rFonts w:cs="Vrinda"/>
          <w:noProof w:val="0"/>
          <w:vertAlign w:val="subscript"/>
          <w:lang w:bidi="bn-IN"/>
        </w:rPr>
        <w:t>,</w:t>
      </w:r>
      <w:r w:rsidRPr="0032110F">
        <w:rPr>
          <w:rFonts w:cs="Vrinda"/>
          <w:i/>
          <w:noProof w:val="0"/>
          <w:vertAlign w:val="subscript"/>
          <w:lang w:bidi="bn-IN"/>
        </w:rPr>
        <w:t>c</w:t>
      </w:r>
      <w:r w:rsidRPr="0032110F">
        <w:rPr>
          <w:noProof w:val="0"/>
          <w:lang w:bidi="bn-IN"/>
        </w:rPr>
        <w:t>,  P</w:t>
      </w:r>
      <w:r w:rsidRPr="0032110F">
        <w:rPr>
          <w:noProof w:val="0"/>
          <w:vertAlign w:val="subscript"/>
          <w:lang w:bidi="bn-IN"/>
        </w:rPr>
        <w:t>PowerClass</w:t>
      </w:r>
      <w:r w:rsidRPr="0032110F">
        <w:rPr>
          <w:noProof w:val="0"/>
          <w:lang w:bidi="bn-IN"/>
        </w:rPr>
        <w:t xml:space="preserve"> – MAX(MPR</w:t>
      </w:r>
      <w:r w:rsidRPr="0032110F">
        <w:rPr>
          <w:rFonts w:cs="Vrinda"/>
          <w:i/>
          <w:noProof w:val="0"/>
          <w:vertAlign w:val="subscript"/>
          <w:lang w:bidi="bn-IN"/>
        </w:rPr>
        <w:t>c</w:t>
      </w:r>
      <w:r w:rsidRPr="0032110F">
        <w:rPr>
          <w:noProof w:val="0"/>
          <w:lang w:bidi="bn-IN"/>
        </w:rPr>
        <w:t xml:space="preserve"> + A-MPR</w:t>
      </w:r>
      <w:r w:rsidRPr="0032110F">
        <w:rPr>
          <w:rFonts w:cs="Vrinda"/>
          <w:i/>
          <w:noProof w:val="0"/>
          <w:vertAlign w:val="subscript"/>
          <w:lang w:bidi="bn-IN"/>
        </w:rPr>
        <w:t>c</w:t>
      </w:r>
      <w:r w:rsidRPr="0032110F">
        <w:rPr>
          <w:noProof w:val="0"/>
          <w:lang w:bidi="bn-IN"/>
        </w:rPr>
        <w:t xml:space="preserve"> +</w:t>
      </w:r>
      <w:r w:rsidRPr="0032110F">
        <w:t xml:space="preserve"> ΔT</w:t>
      </w:r>
      <w:r w:rsidRPr="0032110F">
        <w:rPr>
          <w:vertAlign w:val="subscript"/>
        </w:rPr>
        <w:t>IB,c</w:t>
      </w:r>
      <w:r w:rsidRPr="0032110F">
        <w:rPr>
          <w:noProof w:val="0"/>
          <w:lang w:bidi="bn-IN"/>
        </w:rPr>
        <w:t xml:space="preserve"> + </w:t>
      </w:r>
      <w:r w:rsidRPr="0032110F">
        <w:rPr>
          <w:rFonts w:ascii="Symbol" w:hAnsi="Symbol"/>
          <w:noProof w:val="0"/>
          <w:lang w:bidi="bn-IN"/>
        </w:rPr>
        <w:t></w:t>
      </w:r>
      <w:r w:rsidRPr="0032110F">
        <w:rPr>
          <w:noProof w:val="0"/>
          <w:lang w:bidi="bn-IN"/>
        </w:rPr>
        <w:t>T</w:t>
      </w:r>
      <w:r w:rsidRPr="0032110F">
        <w:rPr>
          <w:noProof w:val="0"/>
          <w:vertAlign w:val="subscript"/>
          <w:lang w:bidi="bn-IN"/>
        </w:rPr>
        <w:t>C</w:t>
      </w:r>
      <w:r w:rsidRPr="0032110F">
        <w:rPr>
          <w:rFonts w:cs="Vrinda"/>
          <w:noProof w:val="0"/>
          <w:vertAlign w:val="subscript"/>
          <w:lang w:bidi="bn-IN"/>
        </w:rPr>
        <w:t>,</w:t>
      </w:r>
      <w:r w:rsidRPr="0032110F">
        <w:rPr>
          <w:rFonts w:cs="Vrinda"/>
          <w:i/>
          <w:noProof w:val="0"/>
          <w:vertAlign w:val="subscript"/>
          <w:lang w:bidi="bn-IN"/>
        </w:rPr>
        <w:t>c</w:t>
      </w:r>
      <w:r w:rsidRPr="0032110F">
        <w:rPr>
          <w:rFonts w:cs="Vrinda"/>
          <w:noProof w:val="0"/>
          <w:lang w:bidi="bn-IN"/>
        </w:rPr>
        <w:t xml:space="preserve"> </w:t>
      </w:r>
      <w:r w:rsidRPr="0032110F">
        <w:rPr>
          <w:noProof w:val="0"/>
          <w:lang w:bidi="bn-IN"/>
        </w:rPr>
        <w:t xml:space="preserve">+ </w:t>
      </w:r>
      <w:r w:rsidRPr="0032110F">
        <w:rPr>
          <w:rFonts w:ascii="Symbol" w:hAnsi="Symbol"/>
          <w:noProof w:val="0"/>
          <w:lang w:bidi="bn-IN"/>
        </w:rPr>
        <w:t></w:t>
      </w:r>
      <w:r w:rsidRPr="0032110F">
        <w:rPr>
          <w:noProof w:val="0"/>
          <w:lang w:bidi="bn-IN"/>
        </w:rPr>
        <w:t>T</w:t>
      </w:r>
      <w:r w:rsidRPr="0032110F">
        <w:rPr>
          <w:noProof w:val="0"/>
          <w:vertAlign w:val="subscript"/>
          <w:lang w:bidi="bn-IN"/>
        </w:rPr>
        <w:t>ProSe</w:t>
      </w:r>
      <w:r w:rsidRPr="0032110F">
        <w:rPr>
          <w:noProof w:val="0"/>
          <w:lang w:bidi="bn-IN"/>
        </w:rPr>
        <w:t>, P-MPR</w:t>
      </w:r>
      <w:r w:rsidRPr="0032110F">
        <w:rPr>
          <w:rFonts w:cs="Vrinda"/>
          <w:i/>
          <w:noProof w:val="0"/>
          <w:vertAlign w:val="subscript"/>
          <w:lang w:bidi="bn-IN"/>
        </w:rPr>
        <w:t>c</w:t>
      </w:r>
      <w:r w:rsidRPr="0032110F">
        <w:rPr>
          <w:noProof w:val="0"/>
          <w:lang w:bidi="bn-IN"/>
        </w:rPr>
        <w:t>)}</w:t>
      </w:r>
    </w:p>
    <w:p w:rsidR="001F5E76" w:rsidRPr="0032110F" w:rsidRDefault="001F5E76" w:rsidP="001F5E76">
      <w:pPr>
        <w:pStyle w:val="EQ"/>
        <w:rPr>
          <w:noProof w:val="0"/>
          <w:lang w:bidi="bn-IN"/>
        </w:rPr>
      </w:pPr>
      <w:r w:rsidRPr="0032110F">
        <w:rPr>
          <w:noProof w:val="0"/>
          <w:lang w:bidi="bn-IN"/>
        </w:rPr>
        <w:tab/>
        <w:t>P</w:t>
      </w:r>
      <w:r w:rsidRPr="0032110F">
        <w:rPr>
          <w:noProof w:val="0"/>
          <w:vertAlign w:val="subscript"/>
          <w:lang w:bidi="bn-IN"/>
        </w:rPr>
        <w:t>CMAX_H</w:t>
      </w:r>
      <w:r w:rsidRPr="0032110F">
        <w:rPr>
          <w:rFonts w:cs="Vrinda"/>
          <w:noProof w:val="0"/>
          <w:vertAlign w:val="subscript"/>
          <w:lang w:bidi="bn-IN"/>
        </w:rPr>
        <w:t>,</w:t>
      </w:r>
      <w:r w:rsidRPr="0032110F">
        <w:rPr>
          <w:rFonts w:cs="Vrinda"/>
          <w:i/>
          <w:noProof w:val="0"/>
          <w:vertAlign w:val="subscript"/>
          <w:lang w:bidi="bn-IN"/>
        </w:rPr>
        <w:t>c</w:t>
      </w:r>
      <w:r w:rsidRPr="0032110F">
        <w:rPr>
          <w:noProof w:val="0"/>
          <w:lang w:bidi="bn-IN"/>
        </w:rPr>
        <w:t xml:space="preserve"> = MIN {P</w:t>
      </w:r>
      <w:r w:rsidRPr="0032110F">
        <w:rPr>
          <w:noProof w:val="0"/>
          <w:vertAlign w:val="subscript"/>
          <w:lang w:bidi="bn-IN"/>
        </w:rPr>
        <w:t>EMAX</w:t>
      </w:r>
      <w:r w:rsidRPr="0032110F">
        <w:rPr>
          <w:rFonts w:cs="Vrinda"/>
          <w:noProof w:val="0"/>
          <w:vertAlign w:val="subscript"/>
          <w:lang w:bidi="bn-IN"/>
        </w:rPr>
        <w:t>,</w:t>
      </w:r>
      <w:r w:rsidRPr="0032110F">
        <w:rPr>
          <w:rFonts w:cs="Vrinda"/>
          <w:i/>
          <w:noProof w:val="0"/>
          <w:vertAlign w:val="subscript"/>
          <w:lang w:bidi="bn-IN"/>
        </w:rPr>
        <w:t>c</w:t>
      </w:r>
      <w:r w:rsidRPr="0032110F">
        <w:rPr>
          <w:noProof w:val="0"/>
          <w:lang w:bidi="bn-IN"/>
        </w:rPr>
        <w:t>,  P</w:t>
      </w:r>
      <w:r w:rsidRPr="0032110F">
        <w:rPr>
          <w:noProof w:val="0"/>
          <w:vertAlign w:val="subscript"/>
          <w:lang w:bidi="bn-IN"/>
        </w:rPr>
        <w:t>PowerClass</w:t>
      </w:r>
      <w:r w:rsidRPr="0032110F">
        <w:rPr>
          <w:noProof w:val="0"/>
          <w:lang w:bidi="bn-IN"/>
        </w:rPr>
        <w:t>}</w:t>
      </w:r>
    </w:p>
    <w:p w:rsidR="001F5E76" w:rsidRPr="0032110F" w:rsidRDefault="001F5E76" w:rsidP="001F5E76">
      <w:pPr>
        <w:rPr>
          <w:lang w:bidi="bn-IN"/>
        </w:rPr>
      </w:pPr>
      <w:r w:rsidRPr="0032110F">
        <w:rPr>
          <w:lang w:bidi="bn-IN"/>
        </w:rPr>
        <w:t>where</w:t>
      </w:r>
    </w:p>
    <w:p w:rsidR="001F5E76" w:rsidRPr="0032110F" w:rsidRDefault="001F5E76" w:rsidP="001F5E76">
      <w:pPr>
        <w:rPr>
          <w:lang w:bidi="bn-IN"/>
        </w:rPr>
      </w:pPr>
      <w:r w:rsidRPr="0032110F">
        <w:rPr>
          <w:lang w:bidi="bn-IN"/>
        </w:rPr>
        <w:t>-</w:t>
      </w:r>
      <w:r w:rsidRPr="0032110F">
        <w:rPr>
          <w:lang w:bidi="bn-IN"/>
        </w:rPr>
        <w:tab/>
        <w:t>P</w:t>
      </w:r>
      <w:r w:rsidRPr="0032110F">
        <w:rPr>
          <w:vertAlign w:val="subscript"/>
          <w:lang w:bidi="bn-IN"/>
        </w:rPr>
        <w:t>EMAX</w:t>
      </w:r>
      <w:r w:rsidRPr="0032110F">
        <w:rPr>
          <w:rFonts w:cs="Vrinda"/>
          <w:vertAlign w:val="subscript"/>
          <w:lang w:bidi="bn-IN"/>
        </w:rPr>
        <w:t>,</w:t>
      </w:r>
      <w:r w:rsidRPr="0032110F">
        <w:rPr>
          <w:rFonts w:cs="Vrinda"/>
          <w:i/>
          <w:vertAlign w:val="subscript"/>
          <w:lang w:bidi="bn-IN"/>
        </w:rPr>
        <w:t>c</w:t>
      </w:r>
      <w:r w:rsidRPr="0032110F">
        <w:rPr>
          <w:lang w:bidi="bn-IN"/>
        </w:rPr>
        <w:t xml:space="preserve"> is the value given by IE </w:t>
      </w:r>
      <w:r w:rsidRPr="0032110F">
        <w:rPr>
          <w:i/>
          <w:lang w:bidi="bn-IN"/>
        </w:rPr>
        <w:t>P-Max</w:t>
      </w:r>
      <w:r w:rsidRPr="0032110F">
        <w:rPr>
          <w:lang w:bidi="bn-IN"/>
        </w:rPr>
        <w:t xml:space="preserve"> for serving cell </w:t>
      </w:r>
      <w:r w:rsidRPr="0032110F">
        <w:rPr>
          <w:i/>
          <w:lang w:bidi="bn-IN"/>
        </w:rPr>
        <w:t>c,</w:t>
      </w:r>
      <w:r w:rsidRPr="0032110F">
        <w:rPr>
          <w:lang w:bidi="bn-IN"/>
        </w:rPr>
        <w:t xml:space="preserve"> defined in [7];</w:t>
      </w:r>
    </w:p>
    <w:p w:rsidR="001F5E76" w:rsidRPr="0032110F" w:rsidRDefault="001F5E76" w:rsidP="001F5E76">
      <w:pPr>
        <w:ind w:left="284" w:hanging="284"/>
        <w:rPr>
          <w:lang w:bidi="bn-IN"/>
        </w:rPr>
      </w:pPr>
      <w:r w:rsidRPr="0032110F">
        <w:rPr>
          <w:lang w:bidi="bn-IN"/>
        </w:rPr>
        <w:t>-</w:t>
      </w:r>
      <w:r w:rsidRPr="0032110F">
        <w:rPr>
          <w:lang w:bidi="bn-IN"/>
        </w:rPr>
        <w:tab/>
        <w:t>P</w:t>
      </w:r>
      <w:r w:rsidRPr="0032110F">
        <w:rPr>
          <w:vertAlign w:val="subscript"/>
          <w:lang w:bidi="bn-IN"/>
        </w:rPr>
        <w:t>PowerClass</w:t>
      </w:r>
      <w:r w:rsidRPr="0032110F">
        <w:rPr>
          <w:lang w:bidi="bn-IN"/>
        </w:rPr>
        <w:t xml:space="preserve"> is the maximum UE power specified in Table 6.2.2-1 without taking into account the tolerance specified in the </w:t>
      </w:r>
      <w:r w:rsidRPr="0032110F" w:rsidDel="00A6410D">
        <w:rPr>
          <w:lang w:bidi="bn-IN"/>
        </w:rPr>
        <w:t>T</w:t>
      </w:r>
      <w:r w:rsidRPr="0032110F">
        <w:rPr>
          <w:lang w:bidi="bn-IN"/>
        </w:rPr>
        <w:t>able 6.2.2-1;</w:t>
      </w:r>
    </w:p>
    <w:p w:rsidR="001F5E76" w:rsidRPr="0032110F" w:rsidRDefault="001F5E76" w:rsidP="001F5E76">
      <w:pPr>
        <w:rPr>
          <w:lang w:bidi="bn-IN"/>
        </w:rPr>
      </w:pPr>
      <w:r w:rsidRPr="0032110F">
        <w:rPr>
          <w:lang w:bidi="bn-IN"/>
        </w:rPr>
        <w:t>-</w:t>
      </w:r>
      <w:r w:rsidRPr="0032110F">
        <w:rPr>
          <w:lang w:bidi="bn-IN"/>
        </w:rPr>
        <w:tab/>
        <w:t>MPR</w:t>
      </w:r>
      <w:r w:rsidRPr="0032110F">
        <w:rPr>
          <w:rFonts w:cs="Vrinda"/>
          <w:i/>
          <w:vertAlign w:val="subscript"/>
          <w:lang w:bidi="bn-IN"/>
        </w:rPr>
        <w:t>c</w:t>
      </w:r>
      <w:r w:rsidRPr="0032110F">
        <w:rPr>
          <w:lang w:bidi="bn-IN"/>
        </w:rPr>
        <w:t xml:space="preserve"> and A-MPR</w:t>
      </w:r>
      <w:r w:rsidRPr="0032110F">
        <w:rPr>
          <w:rFonts w:cs="Vrinda"/>
          <w:i/>
          <w:vertAlign w:val="subscript"/>
          <w:lang w:bidi="bn-IN"/>
        </w:rPr>
        <w:t>c</w:t>
      </w:r>
      <w:r w:rsidRPr="0032110F">
        <w:rPr>
          <w:lang w:bidi="bn-IN"/>
        </w:rPr>
        <w:t xml:space="preserve"> for serving cell </w:t>
      </w:r>
      <w:r w:rsidRPr="0032110F">
        <w:rPr>
          <w:i/>
          <w:lang w:bidi="bn-IN"/>
        </w:rPr>
        <w:t>c</w:t>
      </w:r>
      <w:r w:rsidRPr="0032110F">
        <w:rPr>
          <w:lang w:bidi="bn-IN"/>
        </w:rPr>
        <w:t xml:space="preserve"> are specified in subclause 6.2.3 and subclause 6.2.4, respectively;</w:t>
      </w:r>
    </w:p>
    <w:p w:rsidR="001F5E76" w:rsidRPr="0032110F" w:rsidRDefault="001F5E76" w:rsidP="001F5E76">
      <w:pPr>
        <w:rPr>
          <w:lang w:bidi="bn-IN"/>
        </w:rPr>
      </w:pPr>
      <w:r w:rsidRPr="0032110F">
        <w:rPr>
          <w:lang w:bidi="bn-IN"/>
        </w:rPr>
        <w:t>-</w:t>
      </w:r>
      <w:r w:rsidRPr="0032110F">
        <w:rPr>
          <w:lang w:bidi="bn-IN"/>
        </w:rPr>
        <w:tab/>
      </w:r>
      <w:r w:rsidRPr="0032110F">
        <w:rPr>
          <w:rFonts w:ascii="Symbol" w:hAnsi="Symbol"/>
          <w:lang w:bidi="bn-IN"/>
        </w:rPr>
        <w:t></w:t>
      </w:r>
      <w:r w:rsidRPr="0032110F">
        <w:rPr>
          <w:iCs/>
          <w:lang w:bidi="bn-IN"/>
        </w:rPr>
        <w:t>T</w:t>
      </w:r>
      <w:r w:rsidRPr="0032110F">
        <w:rPr>
          <w:iCs/>
          <w:vertAlign w:val="subscript"/>
          <w:lang w:bidi="bn-IN"/>
        </w:rPr>
        <w:t>IB,c</w:t>
      </w:r>
      <w:r w:rsidRPr="0032110F">
        <w:rPr>
          <w:lang w:bidi="bn-IN"/>
        </w:rPr>
        <w:t xml:space="preserve"> is the additional tolerance for serving cell </w:t>
      </w:r>
      <w:r w:rsidRPr="0032110F">
        <w:rPr>
          <w:i/>
          <w:lang w:bidi="bn-IN"/>
        </w:rPr>
        <w:t>c</w:t>
      </w:r>
      <w:r w:rsidRPr="0032110F">
        <w:rPr>
          <w:lang w:bidi="bn-IN"/>
        </w:rPr>
        <w:t xml:space="preserve"> as specified in </w:t>
      </w:r>
      <w:r w:rsidRPr="0032110F">
        <w:t xml:space="preserve">Table 6.2.5-2; </w:t>
      </w:r>
      <w:r w:rsidRPr="0032110F">
        <w:rPr>
          <w:rFonts w:ascii="Symbol" w:hAnsi="Symbol"/>
          <w:lang w:bidi="bn-IN"/>
        </w:rPr>
        <w:t></w:t>
      </w:r>
      <w:r w:rsidRPr="0032110F">
        <w:rPr>
          <w:iCs/>
          <w:lang w:bidi="bn-IN"/>
        </w:rPr>
        <w:t>T</w:t>
      </w:r>
      <w:r w:rsidRPr="0032110F">
        <w:rPr>
          <w:iCs/>
          <w:vertAlign w:val="subscript"/>
          <w:lang w:bidi="bn-IN"/>
        </w:rPr>
        <w:t>IB,c</w:t>
      </w:r>
      <w:r w:rsidRPr="0032110F">
        <w:rPr>
          <w:iCs/>
          <w:lang w:bidi="bn-IN"/>
        </w:rPr>
        <w:t xml:space="preserve"> = 0 dB otherwise</w:t>
      </w:r>
      <w:r w:rsidRPr="0032110F">
        <w:rPr>
          <w:lang w:bidi="bn-IN"/>
        </w:rPr>
        <w:t>;</w:t>
      </w:r>
    </w:p>
    <w:p w:rsidR="001F5E76" w:rsidRPr="0032110F" w:rsidRDefault="001F5E76" w:rsidP="001F5E76">
      <w:pPr>
        <w:rPr>
          <w:lang w:bidi="bn-IN"/>
        </w:rPr>
      </w:pPr>
      <w:r w:rsidRPr="0032110F">
        <w:rPr>
          <w:lang w:bidi="bn-IN"/>
        </w:rPr>
        <w:t>-</w:t>
      </w:r>
      <w:r w:rsidRPr="0032110F">
        <w:rPr>
          <w:lang w:bidi="bn-IN"/>
        </w:rPr>
        <w:tab/>
      </w:r>
      <w:r w:rsidRPr="0032110F">
        <w:rPr>
          <w:rFonts w:ascii="Symbol" w:hAnsi="Symbol"/>
          <w:lang w:bidi="bn-IN"/>
        </w:rPr>
        <w:t></w:t>
      </w:r>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r w:rsidRPr="0032110F">
        <w:rPr>
          <w:lang w:bidi="bn-IN"/>
        </w:rPr>
        <w:t xml:space="preserve"> = 1.5 dB when NOTE 2 in Table 6.2.2-1 applies;</w:t>
      </w:r>
    </w:p>
    <w:p w:rsidR="001F5E76" w:rsidRPr="0032110F" w:rsidRDefault="001F5E76" w:rsidP="001F5E76">
      <w:pPr>
        <w:rPr>
          <w:lang w:bidi="bn-IN"/>
        </w:rPr>
      </w:pPr>
      <w:r w:rsidRPr="0032110F">
        <w:rPr>
          <w:lang w:bidi="bn-IN"/>
        </w:rPr>
        <w:t>-</w:t>
      </w:r>
      <w:r w:rsidRPr="0032110F">
        <w:rPr>
          <w:lang w:bidi="bn-IN"/>
        </w:rPr>
        <w:tab/>
      </w:r>
      <w:r w:rsidRPr="0032110F">
        <w:rPr>
          <w:rFonts w:ascii="Symbol" w:hAnsi="Symbol"/>
          <w:lang w:bidi="bn-IN"/>
        </w:rPr>
        <w:t></w:t>
      </w:r>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r w:rsidRPr="0032110F">
        <w:rPr>
          <w:lang w:bidi="bn-IN"/>
        </w:rPr>
        <w:t xml:space="preserve"> = 0 dB when NOTE 2 in Table 6.2.2-1 does not apply;</w:t>
      </w:r>
    </w:p>
    <w:p w:rsidR="001F5E76" w:rsidRPr="0032110F" w:rsidRDefault="001F5E76" w:rsidP="001F5E76">
      <w:pPr>
        <w:ind w:left="284" w:hanging="284"/>
        <w:rPr>
          <w:lang w:bidi="bn-IN"/>
        </w:rPr>
      </w:pPr>
      <w:r w:rsidRPr="0032110F">
        <w:rPr>
          <w:lang w:bidi="bn-IN"/>
        </w:rPr>
        <w:t>-</w:t>
      </w:r>
      <w:r w:rsidRPr="0032110F">
        <w:rPr>
          <w:lang w:bidi="bn-IN"/>
        </w:rPr>
        <w:tab/>
      </w:r>
      <w:r w:rsidRPr="0032110F">
        <w:rPr>
          <w:rFonts w:ascii="Symbol" w:hAnsi="Symbol"/>
          <w:lang w:bidi="bn-IN"/>
        </w:rPr>
        <w:t></w:t>
      </w:r>
      <w:r w:rsidRPr="0032110F">
        <w:rPr>
          <w:lang w:bidi="bn-IN"/>
        </w:rPr>
        <w:t>T</w:t>
      </w:r>
      <w:r w:rsidRPr="0032110F">
        <w:rPr>
          <w:vertAlign w:val="subscript"/>
          <w:lang w:bidi="bn-IN"/>
        </w:rPr>
        <w:t xml:space="preserve">ProSe </w:t>
      </w:r>
      <w:r w:rsidRPr="0032110F">
        <w:rPr>
          <w:lang w:bidi="bn-IN"/>
        </w:rPr>
        <w:t xml:space="preserve">= 0.1 dB when the UE supports ProSe Direct Discovery and/or ProSe Direct Communication on the corresponding E-UTRA ProSe band; </w:t>
      </w:r>
      <w:r w:rsidRPr="0032110F">
        <w:rPr>
          <w:rFonts w:ascii="Symbol" w:hAnsi="Symbol"/>
          <w:lang w:bidi="bn-IN"/>
        </w:rPr>
        <w:t></w:t>
      </w:r>
      <w:r w:rsidRPr="0032110F">
        <w:rPr>
          <w:lang w:bidi="bn-IN"/>
        </w:rPr>
        <w:t>T</w:t>
      </w:r>
      <w:r w:rsidRPr="0032110F">
        <w:rPr>
          <w:vertAlign w:val="subscript"/>
          <w:lang w:bidi="bn-IN"/>
        </w:rPr>
        <w:t>ProSe</w:t>
      </w:r>
      <w:r w:rsidRPr="0032110F">
        <w:rPr>
          <w:lang w:bidi="bn-IN"/>
        </w:rPr>
        <w:t xml:space="preserve"> = 0 dB otherwise.</w:t>
      </w:r>
    </w:p>
    <w:p w:rsidR="001F5E76" w:rsidRPr="0032110F" w:rsidRDefault="001F5E76" w:rsidP="001F5E76">
      <w:pPr>
        <w:rPr>
          <w:lang w:bidi="bn-IN"/>
        </w:rPr>
      </w:pPr>
      <w:r w:rsidRPr="0032110F">
        <w:rPr>
          <w:lang w:bidi="bn-IN"/>
        </w:rPr>
        <w:t>P-MPR</w:t>
      </w:r>
      <w:r w:rsidRPr="0032110F">
        <w:rPr>
          <w:rFonts w:cs="Vrinda"/>
          <w:i/>
          <w:vertAlign w:val="subscript"/>
          <w:lang w:bidi="bn-IN"/>
        </w:rPr>
        <w:t>c</w:t>
      </w:r>
      <w:r w:rsidRPr="0032110F">
        <w:rPr>
          <w:lang w:bidi="bn-IN"/>
        </w:rPr>
        <w:t xml:space="preserve"> is the allowed maximum output power reduction for</w:t>
      </w:r>
    </w:p>
    <w:p w:rsidR="001F5E76" w:rsidRPr="0032110F" w:rsidRDefault="001F5E76" w:rsidP="001F5E76">
      <w:pPr>
        <w:pStyle w:val="B2"/>
        <w:rPr>
          <w:lang w:bidi="bn-IN"/>
        </w:rPr>
      </w:pPr>
      <w:r w:rsidRPr="0032110F">
        <w:rPr>
          <w:lang w:bidi="bn-IN"/>
        </w:rPr>
        <w:t>a)</w:t>
      </w:r>
      <w:r w:rsidRPr="0032110F">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1F5E76" w:rsidRPr="0032110F" w:rsidRDefault="001F5E76" w:rsidP="001F5E76">
      <w:pPr>
        <w:pStyle w:val="B2"/>
        <w:rPr>
          <w:lang w:bidi="bn-IN"/>
        </w:rPr>
      </w:pPr>
      <w:r w:rsidRPr="0032110F">
        <w:rPr>
          <w:lang w:bidi="bn-IN"/>
        </w:rPr>
        <w:t>b)</w:t>
      </w:r>
      <w:r w:rsidRPr="0032110F">
        <w:rPr>
          <w:lang w:bidi="bn-IN"/>
        </w:rPr>
        <w:tab/>
        <w:t>ensuring compliance with applicable electromagnetic energy absorption requirements in case of proximity detection is used to address such requirements that require a lower maximum output power.</w:t>
      </w:r>
    </w:p>
    <w:p w:rsidR="001F5E76" w:rsidRPr="0032110F" w:rsidRDefault="001F5E76" w:rsidP="001F5E76">
      <w:pPr>
        <w:rPr>
          <w:lang w:bidi="bn-IN"/>
        </w:rPr>
      </w:pPr>
      <w:r w:rsidRPr="0032110F">
        <w:rPr>
          <w:lang w:bidi="bn-IN"/>
        </w:rPr>
        <w:t>The UE shall apply P-MPR</w:t>
      </w:r>
      <w:r w:rsidRPr="0032110F">
        <w:rPr>
          <w:rFonts w:cs="Vrinda"/>
          <w:i/>
          <w:vertAlign w:val="subscript"/>
          <w:lang w:bidi="bn-IN"/>
        </w:rPr>
        <w:t xml:space="preserve"> c</w:t>
      </w:r>
      <w:r w:rsidRPr="0032110F">
        <w:rPr>
          <w:lang w:bidi="bn-IN"/>
        </w:rPr>
        <w:t xml:space="preserve"> for serving cell </w:t>
      </w:r>
      <w:r w:rsidRPr="0032110F">
        <w:rPr>
          <w:i/>
          <w:lang w:bidi="bn-IN"/>
        </w:rPr>
        <w:t>c</w:t>
      </w:r>
      <w:r w:rsidRPr="0032110F">
        <w:rPr>
          <w:lang w:bidi="bn-IN"/>
        </w:rPr>
        <w:t xml:space="preserve"> only for the above cases. For UE conducted conformance testing P-MPR shall be 0 dB</w:t>
      </w:r>
    </w:p>
    <w:p w:rsidR="001F5E76" w:rsidRPr="0032110F" w:rsidRDefault="001F5E76" w:rsidP="001F5E76">
      <w:pPr>
        <w:pStyle w:val="NO"/>
      </w:pPr>
      <w:r w:rsidRPr="0032110F">
        <w:t>NOTE 1:</w:t>
      </w:r>
      <w:r w:rsidRPr="0032110F">
        <w:tab/>
      </w:r>
      <w:r w:rsidRPr="0032110F">
        <w:rPr>
          <w:lang w:bidi="bn-IN"/>
        </w:rPr>
        <w:t>P-MPR</w:t>
      </w:r>
      <w:r w:rsidRPr="0032110F">
        <w:rPr>
          <w:rFonts w:cs="Vrinda"/>
          <w:i/>
          <w:vertAlign w:val="subscript"/>
          <w:lang w:bidi="bn-IN"/>
        </w:rPr>
        <w:t>c</w:t>
      </w:r>
      <w:r w:rsidRPr="0032110F">
        <w:rPr>
          <w:lang w:bidi="bn-IN"/>
        </w:rPr>
        <w:t xml:space="preserve"> was introduced in the P</w:t>
      </w:r>
      <w:r w:rsidRPr="0032110F">
        <w:rPr>
          <w:vertAlign w:val="subscript"/>
          <w:lang w:bidi="bn-IN"/>
        </w:rPr>
        <w:t>CMAX</w:t>
      </w:r>
      <w:r w:rsidRPr="0032110F">
        <w:rPr>
          <w:rFonts w:cs="Vrinda"/>
          <w:vertAlign w:val="subscript"/>
          <w:lang w:bidi="bn-IN"/>
        </w:rPr>
        <w:t>,</w:t>
      </w:r>
      <w:r w:rsidRPr="0032110F">
        <w:rPr>
          <w:rFonts w:cs="Vrinda"/>
          <w:i/>
          <w:vertAlign w:val="subscript"/>
          <w:lang w:bidi="bn-IN"/>
        </w:rPr>
        <w:t>c</w:t>
      </w:r>
      <w:r w:rsidRPr="0032110F">
        <w:rPr>
          <w:lang w:bidi="bn-IN"/>
        </w:rPr>
        <w:t xml:space="preserve"> equation such that the UE can report to the eNB the available maximum output transmit power. This information can be used by the eNB for scheduling decisions.</w:t>
      </w:r>
    </w:p>
    <w:p w:rsidR="001F5E76" w:rsidRPr="0032110F" w:rsidRDefault="001F5E76" w:rsidP="001F5E76">
      <w:pPr>
        <w:pStyle w:val="NO"/>
        <w:rPr>
          <w:lang w:bidi="bn-IN"/>
        </w:rPr>
      </w:pPr>
      <w:r w:rsidRPr="0032110F">
        <w:t xml:space="preserve">NOTE 2: </w:t>
      </w:r>
      <w:r w:rsidRPr="0032110F">
        <w:rPr>
          <w:lang w:bidi="bn-IN"/>
        </w:rPr>
        <w:t>P-MPR</w:t>
      </w:r>
      <w:r w:rsidRPr="0032110F">
        <w:rPr>
          <w:rFonts w:cs="Vrinda"/>
          <w:i/>
          <w:vertAlign w:val="subscript"/>
          <w:lang w:bidi="bn-IN"/>
        </w:rPr>
        <w:t>c</w:t>
      </w:r>
      <w:r w:rsidRPr="0032110F">
        <w:rPr>
          <w:lang w:bidi="bn-IN"/>
        </w:rPr>
        <w:t xml:space="preserve"> may impact the maximum uplink performance for the selected UL transmission path.</w:t>
      </w:r>
    </w:p>
    <w:p w:rsidR="001F5E76" w:rsidRDefault="001F5E76" w:rsidP="001F5E76">
      <w:pPr>
        <w:rPr>
          <w:highlight w:val="yellow"/>
        </w:rPr>
      </w:pPr>
      <w:r w:rsidRPr="00003CCF">
        <w:rPr>
          <w:highlight w:val="yellow"/>
        </w:rPr>
        <w:t>T</w:t>
      </w:r>
      <w:r w:rsidRPr="00003CCF">
        <w:rPr>
          <w:highlight w:val="yellow"/>
          <w:vertAlign w:val="subscript"/>
        </w:rPr>
        <w:t>REF</w:t>
      </w:r>
      <w:r w:rsidRPr="00003CCF">
        <w:rPr>
          <w:highlight w:val="yellow"/>
        </w:rPr>
        <w:t xml:space="preserve">  and T</w:t>
      </w:r>
      <w:r w:rsidRPr="00003CCF">
        <w:rPr>
          <w:highlight w:val="yellow"/>
          <w:vertAlign w:val="subscript"/>
        </w:rPr>
        <w:t>eval</w:t>
      </w:r>
      <w:r w:rsidRPr="00003CCF">
        <w:rPr>
          <w:highlight w:val="yellow"/>
        </w:rPr>
        <w:t xml:space="preserve"> are specified in Table 6.2.5-0A. For each T</w:t>
      </w:r>
      <w:r w:rsidRPr="00003CCF">
        <w:rPr>
          <w:highlight w:val="yellow"/>
          <w:vertAlign w:val="subscript"/>
        </w:rPr>
        <w:t>REF</w:t>
      </w:r>
      <w:r w:rsidRPr="00003CCF">
        <w:rPr>
          <w:highlight w:val="yellow"/>
        </w:rPr>
        <w:t>, the P</w:t>
      </w:r>
      <w:r w:rsidRPr="00003CCF">
        <w:rPr>
          <w:highlight w:val="yellow"/>
          <w:vertAlign w:val="subscript"/>
        </w:rPr>
        <w:t>CMAX_L,</w:t>
      </w:r>
      <w:r w:rsidRPr="00003CCF">
        <w:rPr>
          <w:i/>
          <w:highlight w:val="yellow"/>
          <w:vertAlign w:val="subscript"/>
        </w:rPr>
        <w:t>c</w:t>
      </w:r>
      <w:r w:rsidRPr="00003CCF">
        <w:rPr>
          <w:highlight w:val="yellow"/>
        </w:rPr>
        <w:t xml:space="preserve"> for serving cell </w:t>
      </w:r>
      <w:r w:rsidRPr="00003CCF">
        <w:rPr>
          <w:i/>
          <w:highlight w:val="yellow"/>
        </w:rPr>
        <w:t>c</w:t>
      </w:r>
      <w:r w:rsidRPr="00003CCF">
        <w:rPr>
          <w:highlight w:val="yellow"/>
        </w:rPr>
        <w:t xml:space="preserve"> is evaluated per T</w:t>
      </w:r>
      <w:r w:rsidRPr="00003CCF">
        <w:rPr>
          <w:highlight w:val="yellow"/>
          <w:vertAlign w:val="subscript"/>
        </w:rPr>
        <w:t>eval</w:t>
      </w:r>
      <w:r w:rsidRPr="00003CCF">
        <w:rPr>
          <w:highlight w:val="yellow"/>
        </w:rPr>
        <w:t xml:space="preserve"> and given by the minimum value taken over the transmission(s) within the T</w:t>
      </w:r>
      <w:r w:rsidRPr="00003CCF">
        <w:rPr>
          <w:highlight w:val="yellow"/>
          <w:vertAlign w:val="subscript"/>
        </w:rPr>
        <w:t>eval</w:t>
      </w:r>
      <w:r w:rsidRPr="00003CCF">
        <w:rPr>
          <w:highlight w:val="yellow"/>
        </w:rPr>
        <w:t>; the minimum P</w:t>
      </w:r>
      <w:r w:rsidRPr="00003CCF">
        <w:rPr>
          <w:highlight w:val="yellow"/>
          <w:vertAlign w:val="subscript"/>
        </w:rPr>
        <w:t>CMAX_ L,</w:t>
      </w:r>
      <w:r w:rsidRPr="00003CCF">
        <w:rPr>
          <w:i/>
          <w:highlight w:val="yellow"/>
          <w:vertAlign w:val="subscript"/>
        </w:rPr>
        <w:t>c</w:t>
      </w:r>
      <w:r>
        <w:rPr>
          <w:highlight w:val="yellow"/>
        </w:rPr>
        <w:t xml:space="preserve"> over</w:t>
      </w:r>
      <w:r w:rsidRPr="00003CCF">
        <w:rPr>
          <w:highlight w:val="yellow"/>
        </w:rPr>
        <w:t xml:space="preserve"> one or more T</w:t>
      </w:r>
      <w:r w:rsidRPr="00003CCF">
        <w:rPr>
          <w:highlight w:val="yellow"/>
          <w:vertAlign w:val="subscript"/>
        </w:rPr>
        <w:t>eval</w:t>
      </w:r>
      <w:r w:rsidRPr="00003CCF">
        <w:rPr>
          <w:highlight w:val="yellow"/>
        </w:rPr>
        <w:t xml:space="preserve"> is then applied for the entire T</w:t>
      </w:r>
      <w:r w:rsidRPr="00003CCF">
        <w:rPr>
          <w:highlight w:val="yellow"/>
          <w:vertAlign w:val="subscript"/>
        </w:rPr>
        <w:t>REF</w:t>
      </w:r>
      <w:r w:rsidRPr="00003CCF">
        <w:rPr>
          <w:highlight w:val="yellow"/>
        </w:rPr>
        <w:t xml:space="preserve">. </w:t>
      </w:r>
    </w:p>
    <w:p w:rsidR="001F5E76" w:rsidRPr="00577342" w:rsidRDefault="001F5E76" w:rsidP="001F5E76">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1F5E76" w:rsidRPr="00577342" w:rsidTr="001E3E05">
        <w:trPr>
          <w:trHeight w:val="158"/>
          <w:jc w:val="center"/>
        </w:trPr>
        <w:tc>
          <w:tcPr>
            <w:tcW w:w="1586" w:type="dxa"/>
          </w:tcPr>
          <w:p w:rsidR="001F5E76" w:rsidRPr="00577342" w:rsidRDefault="001F5E76" w:rsidP="001E3E05">
            <w:pPr>
              <w:pStyle w:val="TAH"/>
              <w:rPr>
                <w:rFonts w:cs="Arial"/>
                <w:highlight w:val="yellow"/>
              </w:rPr>
            </w:pPr>
            <w:r>
              <w:rPr>
                <w:rFonts w:cs="Arial"/>
                <w:highlight w:val="yellow"/>
              </w:rPr>
              <w:t>TTI duration</w:t>
            </w:r>
          </w:p>
        </w:tc>
        <w:tc>
          <w:tcPr>
            <w:tcW w:w="1728" w:type="dxa"/>
            <w:shd w:val="clear" w:color="auto" w:fill="auto"/>
            <w:vAlign w:val="center"/>
          </w:tcPr>
          <w:p w:rsidR="001F5E76" w:rsidRPr="00577342" w:rsidRDefault="001F5E76" w:rsidP="001E3E05">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3730" w:type="dxa"/>
            <w:shd w:val="clear" w:color="auto" w:fill="auto"/>
            <w:vAlign w:val="center"/>
          </w:tcPr>
          <w:p w:rsidR="001F5E76" w:rsidRPr="00577342" w:rsidRDefault="001F5E76" w:rsidP="001E3E05">
            <w:pPr>
              <w:pStyle w:val="TAH"/>
              <w:rPr>
                <w:rFonts w:cs="Arial"/>
                <w:highlight w:val="yellow"/>
                <w:lang w:val="fr-FR"/>
              </w:rPr>
            </w:pPr>
            <w:r w:rsidRPr="00577342">
              <w:rPr>
                <w:rFonts w:ascii="Times New Roman" w:hAnsi="Times New Roman"/>
                <w:sz w:val="20"/>
                <w:highlight w:val="yellow"/>
              </w:rPr>
              <w:t>T</w:t>
            </w:r>
            <w:r w:rsidRPr="00577342">
              <w:rPr>
                <w:rFonts w:ascii="Times New Roman" w:hAnsi="Times New Roman"/>
                <w:sz w:val="20"/>
                <w:highlight w:val="yellow"/>
                <w:vertAlign w:val="subscript"/>
              </w:rPr>
              <w:t>eval</w:t>
            </w:r>
          </w:p>
        </w:tc>
      </w:tr>
      <w:tr w:rsidR="001F5E76" w:rsidRPr="00577342" w:rsidTr="001E3E05">
        <w:trPr>
          <w:trHeight w:val="158"/>
          <w:jc w:val="center"/>
        </w:trPr>
        <w:tc>
          <w:tcPr>
            <w:tcW w:w="1586" w:type="dxa"/>
          </w:tcPr>
          <w:p w:rsidR="001F5E76" w:rsidRPr="00364554"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14 OS (1 ms)</w:t>
            </w:r>
          </w:p>
        </w:tc>
        <w:tc>
          <w:tcPr>
            <w:tcW w:w="1728" w:type="dxa"/>
            <w:shd w:val="clear" w:color="auto" w:fill="auto"/>
            <w:vAlign w:val="center"/>
          </w:tcPr>
          <w:p w:rsidR="001F5E76" w:rsidRPr="00364554"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3730" w:type="dxa"/>
            <w:shd w:val="clear" w:color="auto" w:fill="auto"/>
            <w:vAlign w:val="center"/>
          </w:tcPr>
          <w:p w:rsidR="001F5E76" w:rsidRPr="00364554"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1F5E76" w:rsidRPr="00FE44CA" w:rsidTr="001E3E05">
        <w:trPr>
          <w:trHeight w:val="158"/>
          <w:jc w:val="center"/>
        </w:trPr>
        <w:tc>
          <w:tcPr>
            <w:tcW w:w="1586" w:type="dxa"/>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1728" w:type="dxa"/>
            <w:shd w:val="clear" w:color="auto" w:fill="auto"/>
            <w:vAlign w:val="center"/>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3730" w:type="dxa"/>
            <w:shd w:val="clear" w:color="auto" w:fill="auto"/>
            <w:vAlign w:val="center"/>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highlight w:val="yellow"/>
              </w:rPr>
              <w:t>Min(“Frequency-Hopping-Duration”, 2os)</w:t>
            </w:r>
          </w:p>
        </w:tc>
      </w:tr>
      <w:tr w:rsidR="001F5E76" w:rsidRPr="0032110F" w:rsidTr="001E3E05">
        <w:trPr>
          <w:trHeight w:val="167"/>
          <w:jc w:val="center"/>
        </w:trPr>
        <w:tc>
          <w:tcPr>
            <w:tcW w:w="1586" w:type="dxa"/>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1728" w:type="dxa"/>
            <w:shd w:val="clear" w:color="auto" w:fill="auto"/>
            <w:vAlign w:val="center"/>
          </w:tcPr>
          <w:p w:rsidR="001F5E76" w:rsidRPr="00FE44CA" w:rsidRDefault="001F5E7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3730" w:type="dxa"/>
            <w:shd w:val="clear" w:color="auto" w:fill="auto"/>
            <w:vAlign w:val="center"/>
          </w:tcPr>
          <w:p w:rsidR="001F5E76" w:rsidRPr="00315BC9" w:rsidRDefault="001F5E76" w:rsidP="001E3E05">
            <w:pPr>
              <w:pStyle w:val="TAC"/>
              <w:rPr>
                <w:rFonts w:cs="Arial"/>
              </w:rPr>
            </w:pPr>
            <w:r w:rsidRPr="00FE44CA">
              <w:rPr>
                <w:highlight w:val="yellow"/>
              </w:rPr>
              <w:t>Min(“Frequency-Hopping-Duration”, 7os)</w:t>
            </w:r>
          </w:p>
        </w:tc>
      </w:tr>
    </w:tbl>
    <w:p w:rsidR="001F5E76" w:rsidRDefault="001F5E76" w:rsidP="001F5E76"/>
    <w:p w:rsidR="001F5E76" w:rsidRDefault="001F5E76" w:rsidP="001F5E76">
      <w:r w:rsidRPr="00FE44CA">
        <w:rPr>
          <w:highlight w:val="yellow"/>
        </w:rPr>
        <w:t>Where “Frequency-Hopping-Duration” is defined as the minimum duration of consecutive symbols without frequency hopping.</w:t>
      </w:r>
      <w:r>
        <w:t xml:space="preserve"> </w:t>
      </w:r>
    </w:p>
    <w:p w:rsidR="001F5E76" w:rsidRDefault="001F5E76" w:rsidP="001F5E76">
      <w:pPr>
        <w:rPr>
          <w:lang w:bidi="bn-IN"/>
        </w:rPr>
      </w:pPr>
      <w:r w:rsidRPr="00003CCF">
        <w:rPr>
          <w:highlight w:val="yellow"/>
          <w:lang w:bidi="bn-IN"/>
        </w:rPr>
        <w:t>P</w:t>
      </w:r>
      <w:r w:rsidRPr="00003CCF">
        <w:rPr>
          <w:highlight w:val="yellow"/>
          <w:vertAlign w:val="subscript"/>
          <w:lang w:bidi="bn-IN"/>
        </w:rPr>
        <w:t>PowerClass</w:t>
      </w:r>
      <w:r w:rsidRPr="00003CCF">
        <w:rPr>
          <w:highlight w:val="yellow"/>
          <w:lang w:bidi="bn-IN"/>
        </w:rPr>
        <w:t xml:space="preserve"> shall not be exceeded by the UE during any period of time.</w:t>
      </w:r>
    </w:p>
    <w:p w:rsidR="001F5E76" w:rsidRPr="0032110F" w:rsidRDefault="001F5E76" w:rsidP="001F5E76">
      <w:r w:rsidRPr="0032110F">
        <w:t xml:space="preserve">The measured configured maximum output power </w:t>
      </w:r>
      <w:r w:rsidRPr="0032110F">
        <w:rPr>
          <w:rFonts w:cs="Vrinda"/>
          <w:lang w:bidi="bn-IN"/>
        </w:rPr>
        <w:t>P</w:t>
      </w:r>
      <w:r w:rsidRPr="0032110F">
        <w:rPr>
          <w:rFonts w:cs="Vrinda"/>
          <w:vertAlign w:val="subscript"/>
          <w:lang w:bidi="bn-IN"/>
        </w:rPr>
        <w:t>UMAX,</w:t>
      </w:r>
      <w:r w:rsidRPr="0032110F">
        <w:rPr>
          <w:rFonts w:cs="Vrinda"/>
          <w:i/>
          <w:vertAlign w:val="subscript"/>
          <w:lang w:bidi="bn-IN"/>
        </w:rPr>
        <w:t>c</w:t>
      </w:r>
      <w:r w:rsidRPr="0032110F">
        <w:rPr>
          <w:rFonts w:cs="Vrinda"/>
          <w:lang w:bidi="bn-IN"/>
        </w:rPr>
        <w:t xml:space="preserve"> </w:t>
      </w:r>
      <w:r w:rsidRPr="0032110F">
        <w:t>shall be within the following bounds:</w:t>
      </w:r>
    </w:p>
    <w:p w:rsidR="001F5E76" w:rsidRPr="0032110F" w:rsidRDefault="001F5E76" w:rsidP="001F5E76">
      <w:pPr>
        <w:pStyle w:val="EQ"/>
      </w:pPr>
      <w:r w:rsidRPr="0032110F">
        <w:tab/>
        <w:t>P</w:t>
      </w:r>
      <w:r w:rsidRPr="0032110F">
        <w:rPr>
          <w:vertAlign w:val="subscript"/>
        </w:rPr>
        <w:t>CMAX_L</w:t>
      </w:r>
      <w:r w:rsidRPr="0032110F">
        <w:rPr>
          <w:rFonts w:cs="Vrinda"/>
          <w:noProof w:val="0"/>
          <w:vertAlign w:val="subscript"/>
          <w:lang w:bidi="bn-IN"/>
        </w:rPr>
        <w:t>,</w:t>
      </w:r>
      <w:r w:rsidRPr="0032110F">
        <w:rPr>
          <w:rFonts w:cs="Vrinda"/>
          <w:i/>
          <w:noProof w:val="0"/>
          <w:vertAlign w:val="subscript"/>
          <w:lang w:bidi="bn-IN"/>
        </w:rPr>
        <w:t>c</w:t>
      </w:r>
      <w:r w:rsidRPr="0032110F">
        <w:rPr>
          <w:vertAlign w:val="subscript"/>
        </w:rPr>
        <w:t xml:space="preserve">  </w:t>
      </w:r>
      <w:r w:rsidRPr="0032110F">
        <w:t>–  MAX{T</w:t>
      </w:r>
      <w:r w:rsidRPr="0032110F">
        <w:rPr>
          <w:vertAlign w:val="subscript"/>
        </w:rPr>
        <w:t>L</w:t>
      </w:r>
      <w:r w:rsidRPr="0032110F">
        <w:rPr>
          <w:rFonts w:eastAsia="Malgun Gothic"/>
          <w:vertAlign w:val="subscript"/>
        </w:rPr>
        <w:t>,</w:t>
      </w:r>
      <w:r w:rsidRPr="0032110F">
        <w:rPr>
          <w:rFonts w:eastAsia="Malgun Gothic"/>
          <w:i/>
          <w:vertAlign w:val="subscript"/>
        </w:rPr>
        <w:t>c</w:t>
      </w:r>
      <w:r w:rsidRPr="0032110F">
        <w:t>, T(P</w:t>
      </w:r>
      <w:r w:rsidRPr="0032110F">
        <w:rPr>
          <w:vertAlign w:val="subscript"/>
        </w:rPr>
        <w:t>CMAX_L</w:t>
      </w:r>
      <w:r w:rsidRPr="0032110F">
        <w:rPr>
          <w:rFonts w:cs="Vrinda"/>
          <w:noProof w:val="0"/>
          <w:vertAlign w:val="subscript"/>
          <w:lang w:bidi="bn-IN"/>
        </w:rPr>
        <w:t>,</w:t>
      </w:r>
      <w:r w:rsidRPr="0032110F">
        <w:rPr>
          <w:rFonts w:cs="Vrinda"/>
          <w:i/>
          <w:noProof w:val="0"/>
          <w:vertAlign w:val="subscript"/>
          <w:lang w:bidi="bn-IN"/>
        </w:rPr>
        <w:t>c</w:t>
      </w:r>
      <w:r w:rsidRPr="0032110F">
        <w:t>)}  ≤  P</w:t>
      </w:r>
      <w:r w:rsidRPr="0032110F">
        <w:rPr>
          <w:rFonts w:cs="Vrinda"/>
          <w:noProof w:val="0"/>
          <w:vertAlign w:val="subscript"/>
          <w:lang w:bidi="bn-IN"/>
        </w:rPr>
        <w:t>U</w:t>
      </w:r>
      <w:r w:rsidRPr="0032110F">
        <w:rPr>
          <w:vertAlign w:val="subscript"/>
        </w:rPr>
        <w:t>MAX</w:t>
      </w:r>
      <w:r w:rsidRPr="0032110F">
        <w:rPr>
          <w:rFonts w:cs="Vrinda"/>
          <w:noProof w:val="0"/>
          <w:vertAlign w:val="subscript"/>
          <w:lang w:bidi="bn-IN"/>
        </w:rPr>
        <w:t>,</w:t>
      </w:r>
      <w:r w:rsidRPr="0032110F">
        <w:rPr>
          <w:rFonts w:cs="Vrinda"/>
          <w:i/>
          <w:noProof w:val="0"/>
          <w:vertAlign w:val="subscript"/>
          <w:lang w:bidi="bn-IN"/>
        </w:rPr>
        <w:t>c</w:t>
      </w:r>
      <w:r w:rsidRPr="0032110F">
        <w:rPr>
          <w:vertAlign w:val="subscript"/>
        </w:rPr>
        <w:t xml:space="preserve"> </w:t>
      </w:r>
      <w:r w:rsidRPr="0032110F">
        <w:t xml:space="preserve"> ≤  P</w:t>
      </w:r>
      <w:r w:rsidRPr="0032110F">
        <w:rPr>
          <w:vertAlign w:val="subscript"/>
        </w:rPr>
        <w:t>CMAX_H</w:t>
      </w:r>
      <w:r w:rsidRPr="0032110F">
        <w:rPr>
          <w:rFonts w:cs="Vrinda"/>
          <w:noProof w:val="0"/>
          <w:vertAlign w:val="subscript"/>
          <w:lang w:bidi="bn-IN"/>
        </w:rPr>
        <w:t>,</w:t>
      </w:r>
      <w:r w:rsidRPr="0032110F">
        <w:rPr>
          <w:rFonts w:cs="Vrinda"/>
          <w:i/>
          <w:noProof w:val="0"/>
          <w:vertAlign w:val="subscript"/>
          <w:lang w:bidi="bn-IN"/>
        </w:rPr>
        <w:t>c</w:t>
      </w:r>
      <w:r w:rsidRPr="0032110F">
        <w:rPr>
          <w:vertAlign w:val="subscript"/>
        </w:rPr>
        <w:t xml:space="preserve">  </w:t>
      </w:r>
      <w:r w:rsidRPr="0032110F">
        <w:t>+  T(P</w:t>
      </w:r>
      <w:r w:rsidRPr="0032110F">
        <w:rPr>
          <w:vertAlign w:val="subscript"/>
        </w:rPr>
        <w:t>CMAX_H</w:t>
      </w:r>
      <w:r w:rsidRPr="0032110F">
        <w:rPr>
          <w:rFonts w:cs="Vrinda"/>
          <w:noProof w:val="0"/>
          <w:vertAlign w:val="subscript"/>
          <w:lang w:bidi="bn-IN"/>
        </w:rPr>
        <w:t>,</w:t>
      </w:r>
      <w:r w:rsidRPr="0032110F">
        <w:rPr>
          <w:rFonts w:cs="Vrinda"/>
          <w:i/>
          <w:noProof w:val="0"/>
          <w:vertAlign w:val="subscript"/>
          <w:lang w:bidi="bn-IN"/>
        </w:rPr>
        <w:t>c</w:t>
      </w:r>
      <w:r w:rsidRPr="0032110F">
        <w:t>)</w:t>
      </w:r>
      <w:r w:rsidRPr="0032110F">
        <w:rPr>
          <w:rFonts w:eastAsia="Malgun Gothic"/>
        </w:rPr>
        <w:t>.</w:t>
      </w:r>
    </w:p>
    <w:p w:rsidR="001F5E76" w:rsidRPr="0032110F" w:rsidRDefault="001F5E76" w:rsidP="001F5E76">
      <w:r w:rsidRPr="0032110F">
        <w:t xml:space="preserve">where </w:t>
      </w:r>
      <w:r w:rsidRPr="0032110F">
        <w:rPr>
          <w:rFonts w:eastAsia="Malgun Gothic"/>
        </w:rPr>
        <w:t xml:space="preserve">the tolerance </w:t>
      </w:r>
      <w:r w:rsidRPr="0032110F">
        <w:t>T(P</w:t>
      </w:r>
      <w:r w:rsidRPr="0032110F">
        <w:rPr>
          <w:vertAlign w:val="subscript"/>
        </w:rPr>
        <w:t>CMAX</w:t>
      </w:r>
      <w:r w:rsidRPr="0032110F">
        <w:rPr>
          <w:rFonts w:cs="Vrinda"/>
          <w:vertAlign w:val="subscript"/>
          <w:lang w:bidi="bn-IN"/>
        </w:rPr>
        <w:t>,</w:t>
      </w:r>
      <w:r w:rsidRPr="0032110F">
        <w:rPr>
          <w:rFonts w:cs="Vrinda"/>
          <w:i/>
          <w:vertAlign w:val="subscript"/>
          <w:lang w:bidi="bn-IN"/>
        </w:rPr>
        <w:t>c</w:t>
      </w:r>
      <w:r w:rsidRPr="0032110F">
        <w:t xml:space="preserve">) </w:t>
      </w:r>
      <w:r w:rsidRPr="0032110F">
        <w:rPr>
          <w:rFonts w:eastAsia="Malgun Gothic"/>
        </w:rPr>
        <w:t>for applicable values of P</w:t>
      </w:r>
      <w:r w:rsidRPr="0032110F">
        <w:rPr>
          <w:rFonts w:eastAsia="Malgun Gothic"/>
          <w:vertAlign w:val="subscript"/>
        </w:rPr>
        <w:t>CMAX</w:t>
      </w:r>
      <w:r w:rsidRPr="0032110F">
        <w:rPr>
          <w:rFonts w:eastAsia="Malgun Gothic" w:cs="Vrinda"/>
          <w:vertAlign w:val="subscript"/>
          <w:lang w:bidi="bn-IN"/>
        </w:rPr>
        <w:t>,</w:t>
      </w:r>
      <w:r w:rsidRPr="0032110F">
        <w:rPr>
          <w:rFonts w:eastAsia="Malgun Gothic" w:cs="Vrinda"/>
          <w:i/>
          <w:vertAlign w:val="subscript"/>
          <w:lang w:bidi="bn-IN"/>
        </w:rPr>
        <w:t>c</w:t>
      </w:r>
      <w:r w:rsidRPr="0032110F">
        <w:rPr>
          <w:rFonts w:eastAsia="Malgun Gothic"/>
        </w:rPr>
        <w:t xml:space="preserve"> </w:t>
      </w:r>
      <w:r w:rsidRPr="0032110F">
        <w:t xml:space="preserve">is </w:t>
      </w:r>
      <w:r w:rsidRPr="0032110F">
        <w:rPr>
          <w:rFonts w:eastAsia="Malgun Gothic"/>
        </w:rPr>
        <w:t>specified in Table 6.2.5-1</w:t>
      </w:r>
      <w:r>
        <w:rPr>
          <w:rFonts w:eastAsia="Malgun Gothic"/>
        </w:rPr>
        <w:t>, and Table 6.2.5-1A</w:t>
      </w:r>
      <w:r w:rsidRPr="0032110F">
        <w:rPr>
          <w:rFonts w:eastAsia="Malgun Gothic"/>
        </w:rPr>
        <w:t>.</w:t>
      </w:r>
      <w:r w:rsidRPr="0032110F">
        <w:t xml:space="preserve"> </w:t>
      </w:r>
      <w:r w:rsidRPr="0032110F">
        <w:rPr>
          <w:rFonts w:eastAsia="Malgun Gothic"/>
        </w:rPr>
        <w:t xml:space="preserve">The tolerance </w:t>
      </w:r>
      <w:r w:rsidRPr="0032110F">
        <w:t>T</w:t>
      </w:r>
      <w:r w:rsidRPr="0032110F">
        <w:rPr>
          <w:vertAlign w:val="subscript"/>
        </w:rPr>
        <w:t>L</w:t>
      </w:r>
      <w:r w:rsidRPr="0032110F">
        <w:rPr>
          <w:rFonts w:eastAsia="Malgun Gothic"/>
          <w:vertAlign w:val="subscript"/>
        </w:rPr>
        <w:t>,</w:t>
      </w:r>
      <w:r w:rsidRPr="0032110F">
        <w:rPr>
          <w:rFonts w:eastAsia="Malgun Gothic"/>
          <w:i/>
          <w:vertAlign w:val="subscript"/>
        </w:rPr>
        <w:t>c</w:t>
      </w:r>
      <w:r w:rsidRPr="0032110F">
        <w:t xml:space="preserve"> is the absolute value of the lower tolerance for the applicable operating band</w:t>
      </w:r>
      <w:r w:rsidRPr="0032110F">
        <w:rPr>
          <w:rFonts w:eastAsia="Malgun Gothic"/>
        </w:rPr>
        <w:t xml:space="preserve"> as specified in Table 6.2.2-1</w:t>
      </w:r>
      <w:r w:rsidRPr="0032110F">
        <w:t>.</w:t>
      </w:r>
    </w:p>
    <w:p w:rsidR="001F5E76" w:rsidRPr="0032110F" w:rsidRDefault="001F5E76" w:rsidP="001F5E76"/>
    <w:p w:rsidR="001F5E76" w:rsidRPr="0032110F" w:rsidRDefault="001F5E76" w:rsidP="001F5E76">
      <w:pPr>
        <w:pStyle w:val="TH"/>
      </w:pPr>
      <w:r w:rsidRPr="0032110F">
        <w:lastRenderedPageBreak/>
        <w:t>Table 6.2.5-1: P</w:t>
      </w:r>
      <w:r w:rsidRPr="0032110F">
        <w:rPr>
          <w:vertAlign w:val="subscript"/>
        </w:rPr>
        <w:t>CMAX</w:t>
      </w:r>
      <w:r w:rsidRPr="0032110F">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H"/>
              <w:rPr>
                <w:rFonts w:cs="Arial"/>
              </w:rPr>
            </w:pPr>
            <w:r w:rsidRPr="003D01BB">
              <w:rPr>
                <w:rFonts w:cs="Arial"/>
              </w:rPr>
              <w:t>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vertAlign w:val="subscript"/>
              </w:rPr>
              <w:br/>
            </w:r>
            <w:r w:rsidRPr="003D01BB">
              <w:rPr>
                <w:rFonts w:cs="Arial"/>
              </w:rPr>
              <w:t>(dBm)</w:t>
            </w:r>
          </w:p>
        </w:tc>
        <w:tc>
          <w:tcPr>
            <w:tcW w:w="2083" w:type="dxa"/>
            <w:shd w:val="clear" w:color="auto" w:fill="auto"/>
            <w:vAlign w:val="center"/>
          </w:tcPr>
          <w:p w:rsidR="001F5E76" w:rsidRPr="003D01BB" w:rsidRDefault="001F5E76" w:rsidP="001E3E05">
            <w:pPr>
              <w:pStyle w:val="TAH"/>
              <w:rPr>
                <w:rFonts w:cs="Arial"/>
                <w:lang w:val="fr-FR"/>
              </w:rPr>
            </w:pPr>
            <w:r w:rsidRPr="003D01BB">
              <w:rPr>
                <w:rFonts w:cs="Arial"/>
                <w:lang w:val="fr-FR"/>
              </w:rPr>
              <w:t>Tolerance T(P</w:t>
            </w:r>
            <w:r w:rsidRPr="003D01BB">
              <w:rPr>
                <w:rFonts w:cs="Arial"/>
                <w:vertAlign w:val="subscript"/>
                <w:lang w:val="fr-FR"/>
              </w:rPr>
              <w:t>CMAX</w:t>
            </w:r>
            <w:r w:rsidRPr="0032110F">
              <w:rPr>
                <w:rFonts w:cs="Vrinda"/>
                <w:vertAlign w:val="subscript"/>
                <w:lang w:val="fr-FR" w:bidi="bn-IN"/>
              </w:rPr>
              <w:t>,</w:t>
            </w:r>
            <w:r w:rsidRPr="0032110F">
              <w:rPr>
                <w:rFonts w:cs="Vrinda"/>
                <w:i/>
                <w:vertAlign w:val="subscript"/>
                <w:lang w:val="fr-FR" w:bidi="bn-IN"/>
              </w:rPr>
              <w:t>c</w:t>
            </w:r>
            <w:r w:rsidRPr="003D01BB">
              <w:rPr>
                <w:rFonts w:cs="Arial"/>
                <w:lang w:val="fr-FR"/>
              </w:rPr>
              <w:t>)</w:t>
            </w:r>
            <w:r w:rsidRPr="003D01BB">
              <w:rPr>
                <w:rFonts w:cs="Arial"/>
                <w:lang w:val="fr-FR"/>
              </w:rPr>
              <w:br/>
              <w:t>(dB)</w:t>
            </w:r>
          </w:p>
        </w:tc>
      </w:tr>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23 &lt;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 33</w:t>
            </w:r>
          </w:p>
        </w:tc>
        <w:tc>
          <w:tcPr>
            <w:tcW w:w="2083" w:type="dxa"/>
            <w:shd w:val="clear" w:color="auto" w:fill="auto"/>
            <w:vAlign w:val="center"/>
          </w:tcPr>
          <w:p w:rsidR="001F5E76" w:rsidRPr="003D01BB" w:rsidRDefault="001F5E76" w:rsidP="001E3E05">
            <w:pPr>
              <w:pStyle w:val="TAC"/>
              <w:rPr>
                <w:rFonts w:cs="Arial"/>
              </w:rPr>
            </w:pPr>
            <w:r w:rsidRPr="003D01BB">
              <w:rPr>
                <w:rFonts w:cs="Arial"/>
              </w:rPr>
              <w:t>2.0</w:t>
            </w:r>
          </w:p>
        </w:tc>
      </w:tr>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21 ≤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 23</w:t>
            </w:r>
          </w:p>
        </w:tc>
        <w:tc>
          <w:tcPr>
            <w:tcW w:w="2083" w:type="dxa"/>
            <w:shd w:val="clear" w:color="auto" w:fill="auto"/>
            <w:vAlign w:val="center"/>
          </w:tcPr>
          <w:p w:rsidR="001F5E76" w:rsidRPr="003D01BB" w:rsidRDefault="001F5E76" w:rsidP="001E3E05">
            <w:pPr>
              <w:pStyle w:val="TAC"/>
              <w:rPr>
                <w:rFonts w:cs="Arial"/>
              </w:rPr>
            </w:pPr>
            <w:r w:rsidRPr="003D01BB">
              <w:rPr>
                <w:rFonts w:cs="Arial"/>
              </w:rPr>
              <w:t>2.0</w:t>
            </w:r>
          </w:p>
        </w:tc>
      </w:tr>
      <w:tr w:rsidR="001F5E76" w:rsidRPr="0032110F" w:rsidTr="001E3E05">
        <w:trPr>
          <w:trHeight w:val="240"/>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20 ≤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&lt; 21</w:t>
            </w:r>
          </w:p>
        </w:tc>
        <w:tc>
          <w:tcPr>
            <w:tcW w:w="2083" w:type="dxa"/>
            <w:shd w:val="clear" w:color="auto" w:fill="auto"/>
            <w:vAlign w:val="center"/>
          </w:tcPr>
          <w:p w:rsidR="001F5E76" w:rsidRPr="003D01BB" w:rsidRDefault="001F5E76" w:rsidP="001E3E05">
            <w:pPr>
              <w:pStyle w:val="TAC"/>
              <w:rPr>
                <w:rFonts w:cs="Arial"/>
              </w:rPr>
            </w:pPr>
            <w:r w:rsidRPr="003D01BB">
              <w:rPr>
                <w:rFonts w:cs="Arial"/>
              </w:rPr>
              <w:t>2.5</w:t>
            </w:r>
          </w:p>
        </w:tc>
      </w:tr>
      <w:tr w:rsidR="001F5E76" w:rsidRPr="0032110F" w:rsidTr="001E3E05">
        <w:trPr>
          <w:trHeight w:val="255"/>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19 ≤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&lt; 20</w:t>
            </w:r>
          </w:p>
        </w:tc>
        <w:tc>
          <w:tcPr>
            <w:tcW w:w="2083" w:type="dxa"/>
            <w:shd w:val="clear" w:color="auto" w:fill="auto"/>
            <w:vAlign w:val="center"/>
          </w:tcPr>
          <w:p w:rsidR="001F5E76" w:rsidRPr="003D01BB" w:rsidRDefault="001F5E76" w:rsidP="001E3E05">
            <w:pPr>
              <w:pStyle w:val="TAC"/>
              <w:rPr>
                <w:rFonts w:cs="Arial"/>
              </w:rPr>
            </w:pPr>
            <w:r w:rsidRPr="003D01BB">
              <w:rPr>
                <w:rFonts w:cs="Arial"/>
              </w:rPr>
              <w:t>3.5</w:t>
            </w:r>
          </w:p>
        </w:tc>
      </w:tr>
      <w:tr w:rsidR="001F5E76" w:rsidRPr="0032110F" w:rsidTr="001E3E05">
        <w:trPr>
          <w:trHeight w:val="247"/>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18 ≤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&lt; 19</w:t>
            </w:r>
          </w:p>
        </w:tc>
        <w:tc>
          <w:tcPr>
            <w:tcW w:w="2083" w:type="dxa"/>
            <w:shd w:val="clear" w:color="auto" w:fill="auto"/>
            <w:vAlign w:val="center"/>
          </w:tcPr>
          <w:p w:rsidR="001F5E76" w:rsidRPr="003D01BB" w:rsidRDefault="001F5E76" w:rsidP="001E3E05">
            <w:pPr>
              <w:pStyle w:val="TAC"/>
              <w:rPr>
                <w:rFonts w:cs="Arial"/>
              </w:rPr>
            </w:pPr>
            <w:r w:rsidRPr="003D01BB">
              <w:rPr>
                <w:rFonts w:cs="Arial"/>
              </w:rPr>
              <w:t>4.0</w:t>
            </w:r>
          </w:p>
        </w:tc>
      </w:tr>
      <w:tr w:rsidR="001F5E76" w:rsidRPr="0032110F" w:rsidTr="001E3E05">
        <w:trPr>
          <w:trHeight w:val="247"/>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13 ≤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&lt; 18</w:t>
            </w:r>
          </w:p>
        </w:tc>
        <w:tc>
          <w:tcPr>
            <w:tcW w:w="2083" w:type="dxa"/>
            <w:shd w:val="clear" w:color="auto" w:fill="auto"/>
            <w:vAlign w:val="center"/>
          </w:tcPr>
          <w:p w:rsidR="001F5E76" w:rsidRPr="003D01BB" w:rsidRDefault="001F5E76" w:rsidP="001E3E05">
            <w:pPr>
              <w:pStyle w:val="TAC"/>
              <w:rPr>
                <w:rFonts w:cs="Arial"/>
              </w:rPr>
            </w:pPr>
            <w:r w:rsidRPr="003D01BB">
              <w:rPr>
                <w:rFonts w:cs="Arial"/>
              </w:rPr>
              <w:t>5.0</w:t>
            </w:r>
          </w:p>
        </w:tc>
      </w:tr>
      <w:tr w:rsidR="001F5E76" w:rsidRPr="0032110F" w:rsidTr="001E3E05">
        <w:trPr>
          <w:trHeight w:val="225"/>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8 ≤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&lt; 13</w:t>
            </w:r>
          </w:p>
        </w:tc>
        <w:tc>
          <w:tcPr>
            <w:tcW w:w="2083" w:type="dxa"/>
            <w:shd w:val="clear" w:color="auto" w:fill="auto"/>
            <w:vAlign w:val="center"/>
          </w:tcPr>
          <w:p w:rsidR="001F5E76" w:rsidRPr="003D01BB" w:rsidRDefault="001F5E76" w:rsidP="001E3E05">
            <w:pPr>
              <w:pStyle w:val="TAC"/>
              <w:rPr>
                <w:rFonts w:cs="Arial"/>
              </w:rPr>
            </w:pPr>
            <w:r w:rsidRPr="003D01BB">
              <w:rPr>
                <w:rFonts w:cs="Arial"/>
              </w:rPr>
              <w:t>6.0</w:t>
            </w:r>
          </w:p>
        </w:tc>
      </w:tr>
      <w:tr w:rsidR="001F5E76" w:rsidRPr="0032110F" w:rsidTr="001E3E05">
        <w:trPr>
          <w:trHeight w:val="225"/>
          <w:jc w:val="center"/>
        </w:trPr>
        <w:tc>
          <w:tcPr>
            <w:tcW w:w="1809" w:type="dxa"/>
            <w:shd w:val="clear" w:color="auto" w:fill="auto"/>
            <w:vAlign w:val="center"/>
          </w:tcPr>
          <w:p w:rsidR="001F5E76" w:rsidRPr="003D01BB" w:rsidRDefault="001F5E76" w:rsidP="001E3E05">
            <w:pPr>
              <w:pStyle w:val="TAC"/>
              <w:rPr>
                <w:rFonts w:cs="Arial"/>
              </w:rPr>
            </w:pPr>
            <w:r w:rsidRPr="003D01BB">
              <w:rPr>
                <w:rFonts w:cs="Arial"/>
              </w:rPr>
              <w:t>-40 ≤ P</w:t>
            </w:r>
            <w:r w:rsidRPr="003D01BB">
              <w:rPr>
                <w:rFonts w:cs="Arial"/>
                <w:vertAlign w:val="subscript"/>
              </w:rPr>
              <w:t>CMAX</w:t>
            </w:r>
            <w:r w:rsidRPr="0032110F">
              <w:rPr>
                <w:rFonts w:cs="Vrinda"/>
                <w:vertAlign w:val="subscript"/>
                <w:lang w:bidi="bn-IN"/>
              </w:rPr>
              <w:t>,</w:t>
            </w:r>
            <w:r w:rsidRPr="0032110F">
              <w:rPr>
                <w:rFonts w:cs="Vrinda"/>
                <w:i/>
                <w:vertAlign w:val="subscript"/>
                <w:lang w:bidi="bn-IN"/>
              </w:rPr>
              <w:t>c</w:t>
            </w:r>
            <w:r w:rsidRPr="003D01BB">
              <w:rPr>
                <w:rFonts w:cs="Arial"/>
              </w:rPr>
              <w:t xml:space="preserve"> &lt; 8</w:t>
            </w:r>
          </w:p>
        </w:tc>
        <w:tc>
          <w:tcPr>
            <w:tcW w:w="2083" w:type="dxa"/>
            <w:shd w:val="clear" w:color="auto" w:fill="auto"/>
            <w:vAlign w:val="center"/>
          </w:tcPr>
          <w:p w:rsidR="001F5E76" w:rsidRPr="003D01BB" w:rsidRDefault="001F5E76" w:rsidP="001E3E05">
            <w:pPr>
              <w:pStyle w:val="TAC"/>
              <w:rPr>
                <w:rFonts w:cs="Arial"/>
              </w:rPr>
            </w:pPr>
            <w:r w:rsidRPr="003D01BB">
              <w:rPr>
                <w:rFonts w:cs="Arial"/>
              </w:rPr>
              <w:t>7.0</w:t>
            </w:r>
          </w:p>
        </w:tc>
      </w:tr>
    </w:tbl>
    <w:p w:rsidR="001F5E76" w:rsidRPr="0032110F" w:rsidRDefault="001F5E76" w:rsidP="001F5E76"/>
    <w:p w:rsidR="001F5E76" w:rsidRDefault="001F5E76" w:rsidP="001F5E76">
      <w:pPr>
        <w:pStyle w:val="TH"/>
      </w:pPr>
      <w:r>
        <w:t>Table 6.2.5-1A: P</w:t>
      </w:r>
      <w:r>
        <w:rPr>
          <w:vertAlign w:val="subscript"/>
        </w:rPr>
        <w:t>CMAX</w:t>
      </w:r>
      <w:r>
        <w:t xml:space="preserve"> tolerance for power class 5</w:t>
      </w:r>
    </w:p>
    <w:tbl>
      <w:tblPr>
        <w:tblW w:w="3892" w:type="dxa"/>
        <w:jc w:val="center"/>
        <w:tblCellMar>
          <w:left w:w="0" w:type="dxa"/>
          <w:right w:w="0" w:type="dxa"/>
        </w:tblCellMar>
        <w:tblLook w:val="04A0" w:firstRow="1" w:lastRow="0" w:firstColumn="1" w:lastColumn="0" w:noHBand="0" w:noVBand="1"/>
      </w:tblPr>
      <w:tblGrid>
        <w:gridCol w:w="1809"/>
        <w:gridCol w:w="2083"/>
      </w:tblGrid>
      <w:tr w:rsidR="001F5E76" w:rsidRPr="00D142D9" w:rsidTr="001E3E05">
        <w:trPr>
          <w:trHeight w:val="240"/>
          <w:jc w:val="cent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H"/>
              <w:rPr>
                <w:rFonts w:cs="Arial"/>
              </w:rPr>
            </w:pPr>
            <w:r w:rsidRPr="002E7A1B">
              <w:rPr>
                <w:rFonts w:cs="Arial"/>
              </w:rPr>
              <w:t>P</w:t>
            </w:r>
            <w:r w:rsidRPr="002E7A1B">
              <w:rPr>
                <w:rFonts w:cs="Arial"/>
                <w:vertAlign w:val="subscript"/>
              </w:rPr>
              <w:t>CMAX,</w:t>
            </w:r>
            <w:r w:rsidRPr="002E7A1B">
              <w:rPr>
                <w:rFonts w:cs="Arial"/>
                <w:i/>
                <w:iCs/>
                <w:vertAlign w:val="subscript"/>
              </w:rPr>
              <w:t>c</w:t>
            </w:r>
            <w:r w:rsidRPr="002E7A1B">
              <w:rPr>
                <w:rFonts w:cs="Arial"/>
                <w:vertAlign w:val="subscript"/>
              </w:rPr>
              <w:br/>
            </w:r>
            <w:r w:rsidRPr="002E7A1B">
              <w:rPr>
                <w:rFonts w:cs="Arial"/>
              </w:rPr>
              <w:t>(dBm)</w:t>
            </w:r>
          </w:p>
        </w:tc>
        <w:tc>
          <w:tcPr>
            <w:tcW w:w="2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H"/>
              <w:rPr>
                <w:rFonts w:cs="Arial"/>
                <w:lang w:val="fr-FR"/>
              </w:rPr>
            </w:pPr>
            <w:r w:rsidRPr="002E7A1B">
              <w:rPr>
                <w:rFonts w:cs="Arial"/>
                <w:lang w:val="fr-FR"/>
              </w:rPr>
              <w:t>Tolerance T(P</w:t>
            </w:r>
            <w:r w:rsidRPr="002E7A1B">
              <w:rPr>
                <w:rFonts w:cs="Arial"/>
                <w:vertAlign w:val="subscript"/>
                <w:lang w:val="fr-FR"/>
              </w:rPr>
              <w:t>CMAX,</w:t>
            </w:r>
            <w:r w:rsidRPr="002E7A1B">
              <w:rPr>
                <w:rFonts w:cs="Arial"/>
                <w:i/>
                <w:iCs/>
                <w:vertAlign w:val="subscript"/>
                <w:lang w:val="fr-FR"/>
              </w:rPr>
              <w:t>c</w:t>
            </w:r>
            <w:r w:rsidRPr="002E7A1B">
              <w:rPr>
                <w:rFonts w:cs="Arial"/>
                <w:lang w:val="fr-FR"/>
              </w:rPr>
              <w:t>)</w:t>
            </w:r>
            <w:r w:rsidRPr="002E7A1B">
              <w:rPr>
                <w:rFonts w:cs="Arial"/>
                <w:lang w:val="fr-FR"/>
              </w:rPr>
              <w:br/>
              <w:t>(dB)</w:t>
            </w:r>
          </w:p>
        </w:tc>
      </w:tr>
      <w:tr w:rsidR="001F5E76" w:rsidTr="001E3E05">
        <w:trPr>
          <w:trHeight w:val="240"/>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lang w:val="fr-FR"/>
              </w:rPr>
              <w:t xml:space="preserve"> </w:t>
            </w:r>
            <w:r w:rsidRPr="002E7A1B">
              <w:rPr>
                <w:rFonts w:cs="Arial"/>
              </w:rPr>
              <w:t>P</w:t>
            </w:r>
            <w:r w:rsidRPr="002E7A1B">
              <w:rPr>
                <w:rFonts w:cs="Arial"/>
                <w:vertAlign w:val="subscript"/>
              </w:rPr>
              <w:t>CMAX,</w:t>
            </w:r>
            <w:r w:rsidRPr="002E7A1B">
              <w:rPr>
                <w:rFonts w:cs="Arial"/>
                <w:i/>
                <w:iCs/>
                <w:vertAlign w:val="subscript"/>
              </w:rPr>
              <w:t>c</w:t>
            </w:r>
            <w:r w:rsidRPr="002E7A1B">
              <w:rPr>
                <w:rFonts w:cs="Arial"/>
              </w:rPr>
              <w:t xml:space="preserve"> = 20</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2.0</w:t>
            </w:r>
          </w:p>
        </w:tc>
      </w:tr>
      <w:tr w:rsidR="001F5E76" w:rsidTr="001E3E05">
        <w:trPr>
          <w:trHeight w:val="255"/>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19 ≤ P</w:t>
            </w:r>
            <w:r w:rsidRPr="002E7A1B">
              <w:rPr>
                <w:rFonts w:cs="Arial"/>
                <w:vertAlign w:val="subscript"/>
              </w:rPr>
              <w:t>CMAX,</w:t>
            </w:r>
            <w:r w:rsidRPr="002E7A1B">
              <w:rPr>
                <w:rFonts w:cs="Arial"/>
                <w:i/>
                <w:iCs/>
                <w:vertAlign w:val="subscript"/>
              </w:rPr>
              <w:t>c</w:t>
            </w:r>
            <w:r w:rsidRPr="002E7A1B">
              <w:rPr>
                <w:rFonts w:cs="Arial"/>
              </w:rPr>
              <w:t xml:space="preserve"> &lt; 20</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3.5</w:t>
            </w:r>
          </w:p>
        </w:tc>
      </w:tr>
      <w:tr w:rsidR="001F5E76" w:rsidTr="001E3E05">
        <w:trPr>
          <w:trHeight w:val="247"/>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18 ≤ P</w:t>
            </w:r>
            <w:r w:rsidRPr="002E7A1B">
              <w:rPr>
                <w:rFonts w:cs="Arial"/>
                <w:vertAlign w:val="subscript"/>
              </w:rPr>
              <w:t>CMAX,</w:t>
            </w:r>
            <w:r w:rsidRPr="002E7A1B">
              <w:rPr>
                <w:rFonts w:cs="Arial"/>
                <w:i/>
                <w:iCs/>
                <w:vertAlign w:val="subscript"/>
              </w:rPr>
              <w:t>c</w:t>
            </w:r>
            <w:r w:rsidRPr="002E7A1B">
              <w:rPr>
                <w:rFonts w:cs="Arial"/>
              </w:rPr>
              <w:t xml:space="preserve"> &lt; 19</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highlight w:val="green"/>
              </w:rPr>
            </w:pPr>
            <w:r w:rsidRPr="002E7A1B">
              <w:rPr>
                <w:rFonts w:cs="Arial"/>
              </w:rPr>
              <w:t>4.0</w:t>
            </w:r>
          </w:p>
        </w:tc>
      </w:tr>
      <w:tr w:rsidR="001F5E76" w:rsidTr="001E3E05">
        <w:trPr>
          <w:trHeight w:val="247"/>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13 ≤ P</w:t>
            </w:r>
            <w:r w:rsidRPr="002E7A1B">
              <w:rPr>
                <w:rFonts w:cs="Arial"/>
                <w:vertAlign w:val="subscript"/>
              </w:rPr>
              <w:t>CMAX,</w:t>
            </w:r>
            <w:r w:rsidRPr="002E7A1B">
              <w:rPr>
                <w:rFonts w:cs="Arial"/>
                <w:i/>
                <w:iCs/>
                <w:vertAlign w:val="subscript"/>
              </w:rPr>
              <w:t>c</w:t>
            </w:r>
            <w:r w:rsidRPr="002E7A1B">
              <w:rPr>
                <w:rFonts w:cs="Arial"/>
              </w:rPr>
              <w:t xml:space="preserve"> &lt; 18</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5.0</w:t>
            </w:r>
          </w:p>
        </w:tc>
      </w:tr>
      <w:tr w:rsidR="001F5E76" w:rsidTr="001E3E05">
        <w:trPr>
          <w:trHeight w:val="225"/>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8 ≤ P</w:t>
            </w:r>
            <w:r w:rsidRPr="002E7A1B">
              <w:rPr>
                <w:rFonts w:cs="Arial"/>
                <w:vertAlign w:val="subscript"/>
              </w:rPr>
              <w:t>CMAX,</w:t>
            </w:r>
            <w:r w:rsidRPr="002E7A1B">
              <w:rPr>
                <w:rFonts w:cs="Arial"/>
                <w:i/>
                <w:iCs/>
                <w:vertAlign w:val="subscript"/>
              </w:rPr>
              <w:t>c</w:t>
            </w:r>
            <w:r w:rsidRPr="002E7A1B">
              <w:rPr>
                <w:rFonts w:cs="Arial"/>
              </w:rPr>
              <w:t xml:space="preserve"> &lt; 13</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6.0</w:t>
            </w:r>
          </w:p>
        </w:tc>
      </w:tr>
      <w:tr w:rsidR="001F5E76" w:rsidTr="001E3E05">
        <w:trPr>
          <w:trHeight w:val="225"/>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-40 ≤ P</w:t>
            </w:r>
            <w:r w:rsidRPr="002E7A1B">
              <w:rPr>
                <w:rFonts w:cs="Arial"/>
                <w:vertAlign w:val="subscript"/>
              </w:rPr>
              <w:t>CMAX,</w:t>
            </w:r>
            <w:r w:rsidRPr="002E7A1B">
              <w:rPr>
                <w:rFonts w:cs="Arial"/>
                <w:i/>
                <w:iCs/>
                <w:vertAlign w:val="subscript"/>
              </w:rPr>
              <w:t>c</w:t>
            </w:r>
            <w:r w:rsidRPr="002E7A1B">
              <w:rPr>
                <w:rFonts w:cs="Arial"/>
              </w:rPr>
              <w:t xml:space="preserve"> &lt; 8</w:t>
            </w:r>
          </w:p>
        </w:tc>
        <w:tc>
          <w:tcPr>
            <w:tcW w:w="2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F5E76" w:rsidRPr="002E7A1B" w:rsidRDefault="001F5E76" w:rsidP="001E3E05">
            <w:pPr>
              <w:pStyle w:val="TAC"/>
              <w:rPr>
                <w:rFonts w:cs="Arial"/>
              </w:rPr>
            </w:pPr>
            <w:r w:rsidRPr="002E7A1B">
              <w:rPr>
                <w:rFonts w:cs="Arial"/>
              </w:rPr>
              <w:t>7.0</w:t>
            </w:r>
          </w:p>
        </w:tc>
      </w:tr>
    </w:tbl>
    <w:p w:rsidR="001F5E76" w:rsidRPr="00876D61" w:rsidRDefault="001F5E76" w:rsidP="001F5E76">
      <w:pPr>
        <w:rPr>
          <w:lang w:val="en-US"/>
        </w:rPr>
      </w:pPr>
    </w:p>
    <w:p w:rsidR="001F5E76" w:rsidRPr="00876D61" w:rsidRDefault="001F5E76" w:rsidP="001F5E76">
      <w:pPr>
        <w:rPr>
          <w:lang w:val="en-US"/>
        </w:rPr>
      </w:pPr>
      <w:r w:rsidRPr="00876D61">
        <w:rPr>
          <w:highlight w:val="yellow"/>
          <w:lang w:val="en-US"/>
        </w:rPr>
        <w:t xml:space="preserve">For a burst mode sTTI the measurement tolerance </w:t>
      </w:r>
      <w:r>
        <w:rPr>
          <w:highlight w:val="yellow"/>
          <w:lang w:val="en-US"/>
        </w:rPr>
        <w:t xml:space="preserve">equal to that of SRS applies in addition to that defined </w:t>
      </w:r>
      <w:r w:rsidRPr="00D8344B">
        <w:rPr>
          <w:highlight w:val="yellow"/>
          <w:lang w:val="en-US"/>
        </w:rPr>
        <w:t xml:space="preserve">in </w:t>
      </w:r>
      <w:r w:rsidRPr="00D8344B">
        <w:rPr>
          <w:highlight w:val="yellow"/>
        </w:rPr>
        <w:t>Table 6.2.5-1A</w:t>
      </w:r>
    </w:p>
    <w:p w:rsidR="001F5E76" w:rsidRPr="007C3F38" w:rsidRDefault="001F5E76" w:rsidP="001F5E76">
      <w:pPr>
        <w:rPr>
          <w:b/>
          <w:color w:val="FF0000"/>
          <w:lang w:val="en-US"/>
        </w:rPr>
      </w:pPr>
      <w:r w:rsidRPr="007C3F38">
        <w:rPr>
          <w:b/>
          <w:color w:val="FF0000"/>
          <w:lang w:val="en-US"/>
        </w:rPr>
        <w:t>============ End changes in Section 6.3.5, TS 36.101 ==================</w:t>
      </w:r>
    </w:p>
    <w:p w:rsidR="001F5E76" w:rsidRPr="00FD1F38" w:rsidRDefault="001F5E76" w:rsidP="001F5E76"/>
    <w:p w:rsidR="001F5E76" w:rsidRPr="00ED3FE5" w:rsidRDefault="001F5E76" w:rsidP="00ED3FE5">
      <w:pPr>
        <w:rPr>
          <w:lang w:val="en-US"/>
        </w:rPr>
      </w:pPr>
    </w:p>
    <w:p w:rsidR="002619C7" w:rsidRDefault="00BF6880" w:rsidP="00F22934">
      <w:pPr>
        <w:pStyle w:val="Heading1"/>
      </w:pPr>
      <w:r>
        <w:t>C</w:t>
      </w:r>
      <w:r w:rsidR="00C762BF">
        <w:t>onclusion</w:t>
      </w:r>
    </w:p>
    <w:p w:rsidR="003F67D1" w:rsidRDefault="00853790" w:rsidP="00372DA4">
      <w:r>
        <w:rPr>
          <w:b/>
        </w:rPr>
        <w:t>Proposal</w:t>
      </w:r>
      <w:r w:rsidR="00481086" w:rsidRPr="00481086">
        <w:rPr>
          <w:b/>
        </w:rPr>
        <w:t xml:space="preserve"> 1:</w:t>
      </w:r>
      <w:r w:rsidR="00481086">
        <w:t xml:space="preserve"> Since there could be intra sTTI frequency hopping, the minimum evaluation window length </w:t>
      </w:r>
      <w:r>
        <w:t xml:space="preserve">should </w:t>
      </w:r>
      <w:r w:rsidR="00481086">
        <w:t xml:space="preserve">be that of the </w:t>
      </w:r>
      <w:r w:rsidR="0032265C">
        <w:t>“frequency-hopping-</w:t>
      </w:r>
      <w:r w:rsidR="00481086">
        <w:t>duration</w:t>
      </w:r>
      <w:r w:rsidR="0032265C">
        <w:t>”</w:t>
      </w:r>
      <w:r w:rsidR="00DC71B8">
        <w:t xml:space="preserve"> or TTI length </w:t>
      </w:r>
      <w:r w:rsidR="00A46004">
        <w:t>in case of</w:t>
      </w:r>
      <w:r w:rsidR="00DC71B8">
        <w:t xml:space="preserve"> no intra sTTI frequency hopping</w:t>
      </w:r>
      <w:r w:rsidR="009025C6">
        <w:t xml:space="preserve"> as shown in the table below. </w:t>
      </w:r>
    </w:p>
    <w:p w:rsidR="009025C6" w:rsidRPr="00577342" w:rsidRDefault="009025C6" w:rsidP="009025C6">
      <w:pPr>
        <w:pStyle w:val="TH"/>
        <w:rPr>
          <w:highlight w:val="yellow"/>
        </w:rPr>
      </w:pPr>
      <w:r>
        <w:rPr>
          <w:highlight w:val="yellow"/>
        </w:rPr>
        <w:t>Table 6.2.5-0A</w:t>
      </w:r>
      <w:r w:rsidRPr="00577342">
        <w:rPr>
          <w:highlight w:val="yellow"/>
        </w:rPr>
        <w:t>: P</w:t>
      </w:r>
      <w:r w:rsidRPr="00577342">
        <w:rPr>
          <w:highlight w:val="yellow"/>
          <w:vertAlign w:val="subscript"/>
        </w:rPr>
        <w:t>CMAX</w:t>
      </w:r>
      <w:r w:rsidRPr="00577342">
        <w:rPr>
          <w:highlight w:val="yellow"/>
        </w:rPr>
        <w:t xml:space="preserve"> </w:t>
      </w:r>
      <w:r>
        <w:rPr>
          <w:highlight w:val="yellow"/>
        </w:rPr>
        <w:t>evaluation window for different TTI patterns</w:t>
      </w:r>
      <w:r w:rsidRPr="00577342">
        <w:rPr>
          <w:highlight w:val="yellow"/>
        </w:rPr>
        <w:t xml:space="preserve"> </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9025C6" w:rsidRPr="00577342" w:rsidTr="001E3E05">
        <w:trPr>
          <w:trHeight w:val="158"/>
          <w:jc w:val="center"/>
        </w:trPr>
        <w:tc>
          <w:tcPr>
            <w:tcW w:w="1586" w:type="dxa"/>
          </w:tcPr>
          <w:p w:rsidR="009025C6" w:rsidRPr="00577342" w:rsidRDefault="009025C6" w:rsidP="001E3E05">
            <w:pPr>
              <w:pStyle w:val="TAH"/>
              <w:rPr>
                <w:rFonts w:cs="Arial"/>
                <w:highlight w:val="yellow"/>
              </w:rPr>
            </w:pPr>
            <w:r>
              <w:rPr>
                <w:rFonts w:cs="Arial"/>
                <w:highlight w:val="yellow"/>
              </w:rPr>
              <w:t>TTI duration</w:t>
            </w:r>
          </w:p>
        </w:tc>
        <w:tc>
          <w:tcPr>
            <w:tcW w:w="1728" w:type="dxa"/>
            <w:shd w:val="clear" w:color="auto" w:fill="auto"/>
            <w:vAlign w:val="center"/>
          </w:tcPr>
          <w:p w:rsidR="009025C6" w:rsidRPr="00577342" w:rsidRDefault="009025C6" w:rsidP="001E3E05">
            <w:pPr>
              <w:pStyle w:val="TAH"/>
              <w:rPr>
                <w:rFonts w:cs="Arial"/>
                <w:highlight w:val="yellow"/>
              </w:rPr>
            </w:pPr>
            <w:r w:rsidRPr="00577342">
              <w:rPr>
                <w:rFonts w:ascii="Times New Roman" w:hAnsi="Times New Roman"/>
                <w:sz w:val="20"/>
                <w:highlight w:val="yellow"/>
              </w:rPr>
              <w:t>T</w:t>
            </w:r>
            <w:r w:rsidRPr="00577342">
              <w:rPr>
                <w:rFonts w:ascii="Times New Roman" w:hAnsi="Times New Roman"/>
                <w:sz w:val="20"/>
                <w:highlight w:val="yellow"/>
                <w:vertAlign w:val="subscript"/>
              </w:rPr>
              <w:t>REF</w:t>
            </w:r>
          </w:p>
        </w:tc>
        <w:tc>
          <w:tcPr>
            <w:tcW w:w="3730" w:type="dxa"/>
            <w:shd w:val="clear" w:color="auto" w:fill="auto"/>
            <w:vAlign w:val="center"/>
          </w:tcPr>
          <w:p w:rsidR="009025C6" w:rsidRPr="00577342" w:rsidRDefault="009025C6" w:rsidP="001E3E05">
            <w:pPr>
              <w:pStyle w:val="TAH"/>
              <w:rPr>
                <w:rFonts w:cs="Arial"/>
                <w:highlight w:val="yellow"/>
                <w:lang w:val="fr-FR"/>
              </w:rPr>
            </w:pPr>
            <w:r w:rsidRPr="00577342">
              <w:rPr>
                <w:rFonts w:ascii="Times New Roman" w:hAnsi="Times New Roman"/>
                <w:sz w:val="20"/>
                <w:highlight w:val="yellow"/>
              </w:rPr>
              <w:t>T</w:t>
            </w:r>
            <w:r w:rsidRPr="00577342">
              <w:rPr>
                <w:rFonts w:ascii="Times New Roman" w:hAnsi="Times New Roman"/>
                <w:sz w:val="20"/>
                <w:highlight w:val="yellow"/>
                <w:vertAlign w:val="subscript"/>
              </w:rPr>
              <w:t>eval</w:t>
            </w:r>
          </w:p>
        </w:tc>
      </w:tr>
      <w:tr w:rsidR="009025C6" w:rsidRPr="00577342" w:rsidTr="001E3E05">
        <w:trPr>
          <w:trHeight w:val="158"/>
          <w:jc w:val="center"/>
        </w:trPr>
        <w:tc>
          <w:tcPr>
            <w:tcW w:w="1586" w:type="dxa"/>
          </w:tcPr>
          <w:p w:rsidR="009025C6" w:rsidRPr="00364554"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14 OS (1 ms)</w:t>
            </w:r>
          </w:p>
        </w:tc>
        <w:tc>
          <w:tcPr>
            <w:tcW w:w="1728" w:type="dxa"/>
            <w:shd w:val="clear" w:color="auto" w:fill="auto"/>
            <w:vAlign w:val="center"/>
          </w:tcPr>
          <w:p w:rsidR="009025C6" w:rsidRPr="00364554"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subframe</w:t>
            </w:r>
          </w:p>
        </w:tc>
        <w:tc>
          <w:tcPr>
            <w:tcW w:w="3730" w:type="dxa"/>
            <w:shd w:val="clear" w:color="auto" w:fill="auto"/>
            <w:vAlign w:val="center"/>
          </w:tcPr>
          <w:p w:rsidR="009025C6" w:rsidRPr="00364554"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364554">
              <w:rPr>
                <w:rFonts w:cs="Arial"/>
                <w:highlight w:val="yellow"/>
              </w:rPr>
              <w:t>1 slot</w:t>
            </w:r>
          </w:p>
        </w:tc>
      </w:tr>
      <w:tr w:rsidR="009025C6" w:rsidRPr="00FE44CA" w:rsidTr="001E3E05">
        <w:trPr>
          <w:trHeight w:val="158"/>
          <w:jc w:val="center"/>
        </w:trPr>
        <w:tc>
          <w:tcPr>
            <w:tcW w:w="1586" w:type="dxa"/>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1728" w:type="dxa"/>
            <w:shd w:val="clear" w:color="auto" w:fill="auto"/>
            <w:vAlign w:val="center"/>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2 OS</w:t>
            </w:r>
          </w:p>
        </w:tc>
        <w:tc>
          <w:tcPr>
            <w:tcW w:w="3730" w:type="dxa"/>
            <w:shd w:val="clear" w:color="auto" w:fill="auto"/>
            <w:vAlign w:val="center"/>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highlight w:val="yellow"/>
              </w:rPr>
              <w:t>Min(“Frequency-Hopping-Duration”, 2os)</w:t>
            </w:r>
          </w:p>
        </w:tc>
      </w:tr>
      <w:tr w:rsidR="009025C6" w:rsidRPr="0032110F" w:rsidTr="001E3E05">
        <w:trPr>
          <w:trHeight w:val="167"/>
          <w:jc w:val="center"/>
        </w:trPr>
        <w:tc>
          <w:tcPr>
            <w:tcW w:w="1586" w:type="dxa"/>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1728" w:type="dxa"/>
            <w:shd w:val="clear" w:color="auto" w:fill="auto"/>
            <w:vAlign w:val="center"/>
          </w:tcPr>
          <w:p w:rsidR="009025C6" w:rsidRPr="00FE44CA" w:rsidRDefault="009025C6" w:rsidP="001E3E05">
            <w:pPr>
              <w:pStyle w:val="TAC"/>
              <w:tabs>
                <w:tab w:val="left" w:pos="2552"/>
                <w:tab w:val="left" w:pos="3856"/>
                <w:tab w:val="left" w:pos="5216"/>
                <w:tab w:val="left" w:pos="6464"/>
                <w:tab w:val="left" w:pos="7768"/>
                <w:tab w:val="left" w:pos="9072"/>
                <w:tab w:val="left" w:pos="9639"/>
              </w:tabs>
              <w:rPr>
                <w:rFonts w:cs="Arial"/>
                <w:highlight w:val="yellow"/>
              </w:rPr>
            </w:pPr>
            <w:r w:rsidRPr="00FE44CA">
              <w:rPr>
                <w:rFonts w:cs="Arial"/>
                <w:highlight w:val="yellow"/>
              </w:rPr>
              <w:t>7 OS</w:t>
            </w:r>
          </w:p>
        </w:tc>
        <w:tc>
          <w:tcPr>
            <w:tcW w:w="3730" w:type="dxa"/>
            <w:shd w:val="clear" w:color="auto" w:fill="auto"/>
            <w:vAlign w:val="center"/>
          </w:tcPr>
          <w:p w:rsidR="009025C6" w:rsidRPr="00315BC9" w:rsidRDefault="009025C6" w:rsidP="001E3E05">
            <w:pPr>
              <w:pStyle w:val="TAC"/>
              <w:rPr>
                <w:rFonts w:cs="Arial"/>
              </w:rPr>
            </w:pPr>
            <w:r w:rsidRPr="00FE44CA">
              <w:rPr>
                <w:highlight w:val="yellow"/>
              </w:rPr>
              <w:t>Min(“Frequency-Hopping-Duration”, 7os)</w:t>
            </w:r>
          </w:p>
        </w:tc>
      </w:tr>
    </w:tbl>
    <w:p w:rsidR="009025C6" w:rsidRDefault="009025C6" w:rsidP="00372DA4"/>
    <w:p w:rsidR="00481086" w:rsidRDefault="007F4D71" w:rsidP="00372DA4">
      <w:r>
        <w:rPr>
          <w:b/>
        </w:rPr>
        <w:t>Proposal</w:t>
      </w:r>
      <w:r w:rsidR="00481086" w:rsidRPr="00481086">
        <w:rPr>
          <w:b/>
        </w:rPr>
        <w:t xml:space="preserve"> </w:t>
      </w:r>
      <w:r w:rsidR="00853790">
        <w:rPr>
          <w:b/>
        </w:rPr>
        <w:t>2</w:t>
      </w:r>
      <w:r w:rsidR="00481086" w:rsidRPr="00481086">
        <w:rPr>
          <w:b/>
        </w:rPr>
        <w:t xml:space="preserve">: </w:t>
      </w:r>
      <w:r w:rsidR="00581D5F" w:rsidRPr="00581D5F">
        <w:t>F</w:t>
      </w:r>
      <w:r w:rsidR="00481086">
        <w:t>or burst mode sTTI</w:t>
      </w:r>
      <w:r w:rsidR="00D54603">
        <w:t xml:space="preserve">, since the dynamic range of the Tx power from OFF to ON can be large, </w:t>
      </w:r>
      <w:r w:rsidR="00481086">
        <w:t xml:space="preserve">the measurement tolerance </w:t>
      </w:r>
      <w:r w:rsidR="00D54603">
        <w:t xml:space="preserve">of Tx power </w:t>
      </w:r>
      <w:r w:rsidR="00481086">
        <w:t xml:space="preserve">equal to that of SRS should apply. </w:t>
      </w:r>
    </w:p>
    <w:p w:rsidR="003F67D1" w:rsidRDefault="003F67D1" w:rsidP="00372DA4"/>
    <w:p w:rsidR="00D62CD8" w:rsidRDefault="00D62CD8" w:rsidP="00D62CD8">
      <w:pPr>
        <w:pStyle w:val="Heading1"/>
        <w:jc w:val="both"/>
      </w:pPr>
      <w:r>
        <w:t>References</w:t>
      </w:r>
    </w:p>
    <w:p w:rsidR="00FD1F38" w:rsidRDefault="00FD1F38" w:rsidP="00FD1F38">
      <w:r>
        <w:t xml:space="preserve">[1] </w:t>
      </w:r>
      <w:r w:rsidRPr="00FD1F38">
        <w:t>R4-1703842</w:t>
      </w:r>
      <w:r>
        <w:t xml:space="preserve">, </w:t>
      </w:r>
      <w:r w:rsidRPr="00FD1F38">
        <w:t>UL power control with shortened TTI patterns for single carrier operation</w:t>
      </w:r>
      <w:r>
        <w:t xml:space="preserve">, </w:t>
      </w:r>
      <w:r w:rsidRPr="00FD1F38">
        <w:t>3GPP TSG-RAN WG4 #82bis</w:t>
      </w:r>
      <w:r>
        <w:t xml:space="preserve">, </w:t>
      </w:r>
      <w:r w:rsidRPr="00FD1F38">
        <w:t>Spokane, Washington, USA, 3rd – 7th April 2017</w:t>
      </w:r>
    </w:p>
    <w:p w:rsidR="00D62153" w:rsidRDefault="00F406A6" w:rsidP="00F406A6">
      <w:r>
        <w:rPr>
          <w:lang w:val="en-US"/>
        </w:rPr>
        <w:t xml:space="preserve">[2] </w:t>
      </w:r>
      <w:r>
        <w:t>3GPP TS 36.101 V14.</w:t>
      </w:r>
      <w:r>
        <w:rPr>
          <w:rFonts w:eastAsia="Malgun Gothic" w:hint="eastAsia"/>
        </w:rPr>
        <w:t>3</w:t>
      </w:r>
      <w:r>
        <w:t>.</w:t>
      </w:r>
      <w:r>
        <w:rPr>
          <w:rFonts w:eastAsia="Malgun Gothic" w:hint="eastAsia"/>
        </w:rPr>
        <w:t>0</w:t>
      </w:r>
    </w:p>
    <w:sectPr w:rsidR="00D6215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142" w:rsidRDefault="00366142">
      <w:r>
        <w:separator/>
      </w:r>
    </w:p>
  </w:endnote>
  <w:endnote w:type="continuationSeparator" w:id="0">
    <w:p w:rsidR="00366142" w:rsidRDefault="0036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E5B" w:rsidRDefault="00FD0E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FD0E5B" w:rsidRDefault="00FD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E5B" w:rsidRDefault="00FD0E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172A">
      <w:rPr>
        <w:rStyle w:val="PageNumber"/>
      </w:rPr>
      <w:t>1</w:t>
    </w:r>
    <w:r>
      <w:rPr>
        <w:rStyle w:val="PageNumber"/>
      </w:rPr>
      <w:fldChar w:fldCharType="end"/>
    </w:r>
  </w:p>
  <w:p w:rsidR="00FD0E5B" w:rsidRDefault="00FD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142" w:rsidRDefault="00366142">
      <w:r>
        <w:separator/>
      </w:r>
    </w:p>
  </w:footnote>
  <w:footnote w:type="continuationSeparator" w:id="0">
    <w:p w:rsidR="00366142" w:rsidRDefault="00366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1"/>
        </w:tabs>
        <w:ind w:left="42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8"/>
  </w:num>
  <w:num w:numId="5">
    <w:abstractNumId w:val="12"/>
  </w:num>
  <w:num w:numId="6">
    <w:abstractNumId w:val="7"/>
  </w:num>
  <w:num w:numId="7">
    <w:abstractNumId w:val="2"/>
  </w:num>
  <w:num w:numId="8">
    <w:abstractNumId w:val="15"/>
  </w:num>
  <w:num w:numId="9">
    <w:abstractNumId w:val="8"/>
  </w:num>
  <w:num w:numId="10">
    <w:abstractNumId w:val="11"/>
  </w:num>
  <w:num w:numId="11">
    <w:abstractNumId w:val="19"/>
  </w:num>
  <w:num w:numId="12">
    <w:abstractNumId w:val="1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3"/>
  </w:num>
  <w:num w:numId="2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27F"/>
    <w:rsid w:val="00003883"/>
    <w:rsid w:val="00004283"/>
    <w:rsid w:val="00004796"/>
    <w:rsid w:val="00006110"/>
    <w:rsid w:val="00006186"/>
    <w:rsid w:val="00006198"/>
    <w:rsid w:val="00006454"/>
    <w:rsid w:val="0000667F"/>
    <w:rsid w:val="00006710"/>
    <w:rsid w:val="00006C4A"/>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372"/>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4B5"/>
    <w:rsid w:val="000D3CB5"/>
    <w:rsid w:val="000D467F"/>
    <w:rsid w:val="000D4E0C"/>
    <w:rsid w:val="000D6053"/>
    <w:rsid w:val="000D66BB"/>
    <w:rsid w:val="000D7224"/>
    <w:rsid w:val="000D7652"/>
    <w:rsid w:val="000D7B61"/>
    <w:rsid w:val="000E0602"/>
    <w:rsid w:val="000E1041"/>
    <w:rsid w:val="000E1046"/>
    <w:rsid w:val="000E2C23"/>
    <w:rsid w:val="000E3A74"/>
    <w:rsid w:val="000E3B40"/>
    <w:rsid w:val="000E3D46"/>
    <w:rsid w:val="000E3DD1"/>
    <w:rsid w:val="000E4A11"/>
    <w:rsid w:val="000E526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BB7"/>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3EAA"/>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6E6"/>
    <w:rsid w:val="001F1AFB"/>
    <w:rsid w:val="001F1E8A"/>
    <w:rsid w:val="001F2C22"/>
    <w:rsid w:val="001F3907"/>
    <w:rsid w:val="001F4032"/>
    <w:rsid w:val="001F4191"/>
    <w:rsid w:val="001F5A57"/>
    <w:rsid w:val="001F5E76"/>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4D1C"/>
    <w:rsid w:val="002A5A2D"/>
    <w:rsid w:val="002A679B"/>
    <w:rsid w:val="002A6ED0"/>
    <w:rsid w:val="002B02CB"/>
    <w:rsid w:val="002B05C7"/>
    <w:rsid w:val="002B11FF"/>
    <w:rsid w:val="002B1C8F"/>
    <w:rsid w:val="002B25C6"/>
    <w:rsid w:val="002B2C2C"/>
    <w:rsid w:val="002B2C81"/>
    <w:rsid w:val="002B40E0"/>
    <w:rsid w:val="002B43AE"/>
    <w:rsid w:val="002B4D6F"/>
    <w:rsid w:val="002B619A"/>
    <w:rsid w:val="002B6395"/>
    <w:rsid w:val="002B6D13"/>
    <w:rsid w:val="002B75CC"/>
    <w:rsid w:val="002C034B"/>
    <w:rsid w:val="002C0876"/>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15DD"/>
    <w:rsid w:val="0032202F"/>
    <w:rsid w:val="0032265C"/>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72A"/>
    <w:rsid w:val="00341F00"/>
    <w:rsid w:val="003427F4"/>
    <w:rsid w:val="00344A15"/>
    <w:rsid w:val="00344E1B"/>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142"/>
    <w:rsid w:val="003667C5"/>
    <w:rsid w:val="0036684F"/>
    <w:rsid w:val="00367EDE"/>
    <w:rsid w:val="00367FA2"/>
    <w:rsid w:val="00370CDE"/>
    <w:rsid w:val="003710AC"/>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529"/>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93D"/>
    <w:rsid w:val="00475ACA"/>
    <w:rsid w:val="00476B1E"/>
    <w:rsid w:val="00477349"/>
    <w:rsid w:val="00477AFF"/>
    <w:rsid w:val="00480894"/>
    <w:rsid w:val="00481086"/>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799"/>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5F7"/>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1D5F"/>
    <w:rsid w:val="0058268D"/>
    <w:rsid w:val="0058368D"/>
    <w:rsid w:val="00583984"/>
    <w:rsid w:val="005839E6"/>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560F"/>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37"/>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50F8"/>
    <w:rsid w:val="00785352"/>
    <w:rsid w:val="00786A8F"/>
    <w:rsid w:val="007902F8"/>
    <w:rsid w:val="00790FEC"/>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4D71"/>
    <w:rsid w:val="007F51CC"/>
    <w:rsid w:val="007F5F94"/>
    <w:rsid w:val="007F654A"/>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790"/>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6D61"/>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BD9"/>
    <w:rsid w:val="008A1EB8"/>
    <w:rsid w:val="008A2168"/>
    <w:rsid w:val="008A2610"/>
    <w:rsid w:val="008A2701"/>
    <w:rsid w:val="008A452A"/>
    <w:rsid w:val="008A4C71"/>
    <w:rsid w:val="008A54B9"/>
    <w:rsid w:val="008A66D3"/>
    <w:rsid w:val="008A6799"/>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A06"/>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5C6"/>
    <w:rsid w:val="0090320D"/>
    <w:rsid w:val="00903D25"/>
    <w:rsid w:val="00903EC0"/>
    <w:rsid w:val="009042F2"/>
    <w:rsid w:val="00904CAB"/>
    <w:rsid w:val="00904EC2"/>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0804"/>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3432"/>
    <w:rsid w:val="00A44F91"/>
    <w:rsid w:val="00A45827"/>
    <w:rsid w:val="00A46004"/>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8CE"/>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6DD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87E7D"/>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4BC0"/>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83C"/>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8B1"/>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70E"/>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4603"/>
    <w:rsid w:val="00D5501D"/>
    <w:rsid w:val="00D550E6"/>
    <w:rsid w:val="00D5648A"/>
    <w:rsid w:val="00D56562"/>
    <w:rsid w:val="00D56625"/>
    <w:rsid w:val="00D5689B"/>
    <w:rsid w:val="00D56AC6"/>
    <w:rsid w:val="00D56B2D"/>
    <w:rsid w:val="00D56B30"/>
    <w:rsid w:val="00D57D83"/>
    <w:rsid w:val="00D60342"/>
    <w:rsid w:val="00D6117B"/>
    <w:rsid w:val="00D62153"/>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44B"/>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3F78"/>
    <w:rsid w:val="00DC4147"/>
    <w:rsid w:val="00DC4D9D"/>
    <w:rsid w:val="00DC5754"/>
    <w:rsid w:val="00DC6670"/>
    <w:rsid w:val="00DC6AC1"/>
    <w:rsid w:val="00DC71B8"/>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495"/>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3003"/>
    <w:rsid w:val="00E742B9"/>
    <w:rsid w:val="00E74A7C"/>
    <w:rsid w:val="00E7535E"/>
    <w:rsid w:val="00E75EBB"/>
    <w:rsid w:val="00E7685E"/>
    <w:rsid w:val="00E8023E"/>
    <w:rsid w:val="00E80295"/>
    <w:rsid w:val="00E809C5"/>
    <w:rsid w:val="00E812B1"/>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325F"/>
    <w:rsid w:val="00ED33CC"/>
    <w:rsid w:val="00ED3571"/>
    <w:rsid w:val="00ED3FE5"/>
    <w:rsid w:val="00ED444D"/>
    <w:rsid w:val="00ED5874"/>
    <w:rsid w:val="00ED5C02"/>
    <w:rsid w:val="00ED67BD"/>
    <w:rsid w:val="00ED69A3"/>
    <w:rsid w:val="00ED7522"/>
    <w:rsid w:val="00EE076E"/>
    <w:rsid w:val="00EE07FF"/>
    <w:rsid w:val="00EE0950"/>
    <w:rsid w:val="00EE1502"/>
    <w:rsid w:val="00EE249C"/>
    <w:rsid w:val="00EE38E7"/>
    <w:rsid w:val="00EE4574"/>
    <w:rsid w:val="00EE48FE"/>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06A6"/>
    <w:rsid w:val="00F42BC0"/>
    <w:rsid w:val="00F437E7"/>
    <w:rsid w:val="00F44817"/>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241F"/>
    <w:rsid w:val="00FB3A04"/>
    <w:rsid w:val="00FB3A69"/>
    <w:rsid w:val="00FB4096"/>
    <w:rsid w:val="00FB6560"/>
    <w:rsid w:val="00FB6BDD"/>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0E5B"/>
    <w:rsid w:val="00FD1F38"/>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4CA"/>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AA256"/>
  <w15:chartTrackingRefBased/>
  <w15:docId w15:val="{3D317770-01A5-4F3B-AAA7-B957C82D4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customStyle="1" w:styleId="EQChar">
    <w:name w:val="EQ Char"/>
    <w:link w:val="EQ"/>
    <w:rsid w:val="00D62153"/>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4F6B-3127-49E6-8B89-C11C5D23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713</TotalTime>
  <Pages>3</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27</cp:revision>
  <cp:lastPrinted>2016-03-25T21:53:00Z</cp:lastPrinted>
  <dcterms:created xsi:type="dcterms:W3CDTF">2017-07-14T04:48:00Z</dcterms:created>
  <dcterms:modified xsi:type="dcterms:W3CDTF">2017-08-10T21:18:00Z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